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93B3" w14:textId="77777777" w:rsidR="002E63B0" w:rsidRPr="002E63B0" w:rsidRDefault="002E63B0" w:rsidP="002E63B0">
      <w:pPr>
        <w:pStyle w:val="Title"/>
      </w:pPr>
      <w:r w:rsidRPr="002E63B0">
        <w:t xml:space="preserve">Next Generation Air Transportation System (NextGen) </w:t>
      </w:r>
    </w:p>
    <w:p w14:paraId="19B918F7" w14:textId="77777777" w:rsidR="002E63B0" w:rsidRPr="002E63B0" w:rsidRDefault="002E63B0" w:rsidP="002E63B0">
      <w:r w:rsidRPr="002E63B0">
        <w:t>The Next Generation Air Transportation System (NextGen) is a large-scale FAA initiative to modernize the U.S. National Airspace System (NAS).</w:t>
      </w:r>
    </w:p>
    <w:p w14:paraId="6CFF7486" w14:textId="77777777" w:rsidR="002E63B0" w:rsidRPr="002E63B0" w:rsidRDefault="002E63B0" w:rsidP="002E63B0">
      <w:r w:rsidRPr="002E63B0">
        <w:t>Through NextGen, the FAA has revamped air traffic control infrastructure for communications, navigation, surveillance, automation, and information management to increase the safety, efficiency, capacity, predictability, flexibility, and resiliency of U.S. aviation. NextGen’s scope includes airport infrastructure improvements, new air traffic technologies and procedures, and safety and security enhancements.</w:t>
      </w:r>
    </w:p>
    <w:p w14:paraId="1F262CBF" w14:textId="77777777" w:rsidR="002E63B0" w:rsidRPr="002E63B0" w:rsidRDefault="002E63B0" w:rsidP="002E63B0">
      <w:r w:rsidRPr="002E63B0">
        <w:t>NextGen also helps to reduce aviation’s effects on the environment. The FAA supports programs to facilitate sustainable aviation fuel uptake as well as aircraft and engines that lower fuel consumption and emissions.</w:t>
      </w:r>
    </w:p>
    <w:p w14:paraId="168F5CCD" w14:textId="77777777" w:rsidR="002E63B0" w:rsidRPr="002E63B0" w:rsidRDefault="002E63B0" w:rsidP="002E63B0">
      <w:r w:rsidRPr="002E63B0">
        <w:t>We engage with the public and share practices with the aviation community to accelerate the adoption of innovative technologies. The FAA and its partners have implemented new technologies and capabilities, which are leading to a new way of managing air traffic known as Trajectory Based Operations (TBO).</w:t>
      </w:r>
    </w:p>
    <w:p w14:paraId="14E7EDE8" w14:textId="77777777" w:rsidR="002E63B0" w:rsidRPr="002E63B0" w:rsidRDefault="002E63B0" w:rsidP="002E63B0">
      <w:r w:rsidRPr="002E63B0">
        <w:t>Our modernization initiative enables a more flexible — yet robust and resilient — aerospace infrastructure that ensures the safe introduction of non-traditional aviation, such as commercial space transportation and advanced air mobility.</w:t>
      </w:r>
    </w:p>
    <w:p w14:paraId="209E910F" w14:textId="77777777" w:rsidR="002E63B0" w:rsidRPr="002E63B0" w:rsidRDefault="002E63B0" w:rsidP="002E63B0">
      <w:r w:rsidRPr="002E63B0">
        <w:t>Through research and collaboration, NextGen is defining new standards and further advancing our global leadership in aviation. The FAA fosters international cooperation in evolving enhanced aviation technologies to improve airspace system safety and mobility around the world.</w:t>
      </w:r>
    </w:p>
    <w:p w14:paraId="7E2FB3A1" w14:textId="77777777" w:rsidR="002E63B0" w:rsidRPr="002E63B0" w:rsidRDefault="002E63B0" w:rsidP="002E63B0">
      <w:r w:rsidRPr="002E63B0">
        <w:t>Explore the past, present, and future of NextGen.</w:t>
      </w:r>
    </w:p>
    <w:p w14:paraId="070B16C3" w14:textId="77777777" w:rsidR="002E63B0" w:rsidRPr="002E63B0" w:rsidRDefault="002E63B0" w:rsidP="002E63B0">
      <w:r w:rsidRPr="002E63B0">
        <w:pict w14:anchorId="4E9D3887">
          <v:rect id="_x0000_i1025" style="width:0;height:1.5pt" o:hralign="center" o:hrstd="t" o:hr="t" fillcolor="#a0a0a0" stroked="f"/>
        </w:pict>
      </w:r>
    </w:p>
    <w:p w14:paraId="4F74E046" w14:textId="77777777" w:rsidR="002E63B0" w:rsidRPr="002E63B0" w:rsidRDefault="002E63B0" w:rsidP="002E63B0">
      <w:pPr>
        <w:rPr>
          <w:b/>
          <w:bCs/>
        </w:rPr>
      </w:pPr>
      <w:hyperlink r:id="rId5" w:history="1">
        <w:r w:rsidRPr="002E63B0">
          <w:rPr>
            <w:rStyle w:val="Hyperlink"/>
            <w:b/>
            <w:bCs/>
          </w:rPr>
          <w:t>Background</w:t>
        </w:r>
      </w:hyperlink>
    </w:p>
    <w:p w14:paraId="51CCC86D" w14:textId="77777777" w:rsidR="002E63B0" w:rsidRPr="002E63B0" w:rsidRDefault="002E63B0" w:rsidP="002E63B0">
      <w:r w:rsidRPr="002E63B0">
        <w:t>The United States has the world’s busiest and most complex airspace system. Spurred by forecasts of increased air traffic, the FAA started NextGen to make flying safer, more efficient, and more predictable.</w:t>
      </w:r>
    </w:p>
    <w:p w14:paraId="3831E620" w14:textId="77777777" w:rsidR="002E63B0" w:rsidRPr="002E63B0" w:rsidRDefault="002E63B0" w:rsidP="002E63B0">
      <w:r w:rsidRPr="002E63B0">
        <w:pict w14:anchorId="008E834A">
          <v:rect id="_x0000_i1026" style="width:0;height:1.5pt" o:hralign="center" o:hrstd="t" o:hr="t" fillcolor="#a0a0a0" stroked="f"/>
        </w:pict>
      </w:r>
    </w:p>
    <w:p w14:paraId="6D561C02" w14:textId="77777777" w:rsidR="002E63B0" w:rsidRPr="002E63B0" w:rsidRDefault="002E63B0" w:rsidP="002E63B0">
      <w:pPr>
        <w:rPr>
          <w:b/>
          <w:bCs/>
        </w:rPr>
      </w:pPr>
      <w:hyperlink r:id="rId6" w:history="1">
        <w:r w:rsidRPr="002E63B0">
          <w:rPr>
            <w:rStyle w:val="Hyperlink"/>
            <w:b/>
            <w:bCs/>
          </w:rPr>
          <w:t>NextGen Today</w:t>
        </w:r>
      </w:hyperlink>
    </w:p>
    <w:p w14:paraId="1B7D7662" w14:textId="77777777" w:rsidR="002E63B0" w:rsidRPr="002E63B0" w:rsidRDefault="002E63B0" w:rsidP="002E63B0">
      <w:r w:rsidRPr="002E63B0">
        <w:t>NextGen capabilities are active and expanding at locations across the nation.</w:t>
      </w:r>
    </w:p>
    <w:p w14:paraId="3733589B" w14:textId="77777777" w:rsidR="002E63B0" w:rsidRPr="002E63B0" w:rsidRDefault="002E63B0" w:rsidP="002E63B0">
      <w:r w:rsidRPr="002E63B0">
        <w:pict w14:anchorId="764F651A">
          <v:rect id="_x0000_i1027" style="width:0;height:1.5pt" o:hralign="center" o:hrstd="t" o:hr="t" fillcolor="#a0a0a0" stroked="f"/>
        </w:pict>
      </w:r>
    </w:p>
    <w:p w14:paraId="47DB0554" w14:textId="77777777" w:rsidR="002E63B0" w:rsidRPr="002E63B0" w:rsidRDefault="002E63B0" w:rsidP="002E63B0">
      <w:pPr>
        <w:rPr>
          <w:b/>
          <w:bCs/>
        </w:rPr>
      </w:pPr>
      <w:hyperlink r:id="rId7" w:history="1">
        <w:r w:rsidRPr="002E63B0">
          <w:rPr>
            <w:rStyle w:val="Hyperlink"/>
            <w:b/>
            <w:bCs/>
          </w:rPr>
          <w:t>Future NAS</w:t>
        </w:r>
      </w:hyperlink>
    </w:p>
    <w:p w14:paraId="38684B3F" w14:textId="77777777" w:rsidR="002E63B0" w:rsidRPr="002E63B0" w:rsidRDefault="002E63B0" w:rsidP="002E63B0">
      <w:r w:rsidRPr="002E63B0">
        <w:t>The FAA is looking to further improve NAS operations through TBO and introducing a vision for an information-</w:t>
      </w:r>
      <w:proofErr w:type="spellStart"/>
      <w:r w:rsidRPr="002E63B0">
        <w:t>centered</w:t>
      </w:r>
      <w:proofErr w:type="spellEnd"/>
      <w:r w:rsidRPr="002E63B0">
        <w:t xml:space="preserve"> system built for diverse operations.</w:t>
      </w:r>
    </w:p>
    <w:p w14:paraId="141B80AA" w14:textId="77777777" w:rsidR="002E63B0" w:rsidRPr="002E63B0" w:rsidRDefault="002E63B0" w:rsidP="002E63B0">
      <w:r w:rsidRPr="002E63B0">
        <w:pict w14:anchorId="5EE691A1">
          <v:rect id="_x0000_i1028" style="width:0;height:1.5pt" o:hralign="center" o:hrstd="t" o:hr="t" fillcolor="#a0a0a0" stroked="f"/>
        </w:pict>
      </w:r>
    </w:p>
    <w:p w14:paraId="7E23A5E3" w14:textId="77777777" w:rsidR="002E63B0" w:rsidRPr="002E63B0" w:rsidRDefault="002E63B0" w:rsidP="002E63B0">
      <w:pPr>
        <w:rPr>
          <w:b/>
          <w:bCs/>
        </w:rPr>
      </w:pPr>
      <w:hyperlink r:id="rId8" w:history="1">
        <w:r w:rsidRPr="002E63B0">
          <w:rPr>
            <w:rStyle w:val="Hyperlink"/>
            <w:b/>
            <w:bCs/>
          </w:rPr>
          <w:t>Performance Reporting and Benefits</w:t>
        </w:r>
      </w:hyperlink>
    </w:p>
    <w:p w14:paraId="389FF525" w14:textId="77777777" w:rsidR="002E63B0" w:rsidRPr="002E63B0" w:rsidRDefault="002E63B0" w:rsidP="002E63B0">
      <w:r w:rsidRPr="002E63B0">
        <w:t>NextGen improvements have realized benefits that we have measured by year and type. Benefits will accumulate over time as NextGen pursues its integral contribution to the U.S. airspace, economy, and flying public.</w:t>
      </w:r>
    </w:p>
    <w:p w14:paraId="6B8C53B2" w14:textId="77777777" w:rsidR="002E63B0" w:rsidRPr="002E63B0" w:rsidRDefault="002E63B0" w:rsidP="002E63B0">
      <w:r w:rsidRPr="002E63B0">
        <w:pict w14:anchorId="4E6DA42E">
          <v:rect id="_x0000_i1029" style="width:0;height:1.5pt" o:hralign="center" o:hrstd="t" o:hr="t" fillcolor="#a0a0a0" stroked="f"/>
        </w:pict>
      </w:r>
    </w:p>
    <w:p w14:paraId="0173C9E8" w14:textId="77777777" w:rsidR="002E63B0" w:rsidRPr="002E63B0" w:rsidRDefault="002E63B0" w:rsidP="002E63B0">
      <w:pPr>
        <w:rPr>
          <w:b/>
          <w:bCs/>
        </w:rPr>
      </w:pPr>
      <w:r w:rsidRPr="002E63B0">
        <w:rPr>
          <w:b/>
          <w:bCs/>
        </w:rPr>
        <w:t>Documents</w:t>
      </w:r>
    </w:p>
    <w:p w14:paraId="52156EAB" w14:textId="0D4939E9" w:rsidR="002E63B0" w:rsidRPr="002E63B0" w:rsidRDefault="002E63B0" w:rsidP="002E63B0">
      <w:r w:rsidRPr="002E63B0">
        <w:drawing>
          <wp:inline distT="0" distB="0" distL="0" distR="0" wp14:anchorId="5F40589E" wp14:editId="7DB11395">
            <wp:extent cx="1693545" cy="2194560"/>
            <wp:effectExtent l="0" t="0" r="1905" b="0"/>
            <wp:docPr id="786166345" name="Picture 4" descr="NextGen Annual Report, Fiscal Yea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Gen Annual Report, Fiscal Year 20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3545" cy="2194560"/>
                    </a:xfrm>
                    <a:prstGeom prst="rect">
                      <a:avLst/>
                    </a:prstGeom>
                    <a:noFill/>
                    <a:ln>
                      <a:noFill/>
                    </a:ln>
                  </pic:spPr>
                </pic:pic>
              </a:graphicData>
            </a:graphic>
          </wp:inline>
        </w:drawing>
      </w:r>
      <w:r w:rsidRPr="002E63B0">
        <w:br/>
      </w:r>
      <w:hyperlink r:id="rId10" w:history="1">
        <w:r w:rsidRPr="002E63B0">
          <w:rPr>
            <w:rStyle w:val="Hyperlink"/>
          </w:rPr>
          <w:t>NextGen Annual Report, Fiscal Year 2023</w:t>
        </w:r>
      </w:hyperlink>
    </w:p>
    <w:p w14:paraId="1B438877" w14:textId="460A95C6" w:rsidR="002E63B0" w:rsidRPr="002E63B0" w:rsidRDefault="002E63B0" w:rsidP="002E63B0">
      <w:r w:rsidRPr="002E63B0">
        <w:drawing>
          <wp:inline distT="0" distB="0" distL="0" distR="0" wp14:anchorId="4294926B" wp14:editId="62A09896">
            <wp:extent cx="1693545" cy="2194560"/>
            <wp:effectExtent l="0" t="0" r="1905" b="0"/>
            <wp:docPr id="1163577744" name="Picture 3" descr="Minimum Capability List to Achieve Optimal NextGen Benefits, Novem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mum Capability List to Achieve Optimal NextGen Benefits, November 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3545" cy="2194560"/>
                    </a:xfrm>
                    <a:prstGeom prst="rect">
                      <a:avLst/>
                    </a:prstGeom>
                    <a:noFill/>
                    <a:ln>
                      <a:noFill/>
                    </a:ln>
                  </pic:spPr>
                </pic:pic>
              </a:graphicData>
            </a:graphic>
          </wp:inline>
        </w:drawing>
      </w:r>
      <w:r w:rsidRPr="002E63B0">
        <w:br/>
      </w:r>
      <w:hyperlink r:id="rId12" w:history="1">
        <w:r w:rsidRPr="002E63B0">
          <w:rPr>
            <w:rStyle w:val="Hyperlink"/>
          </w:rPr>
          <w:t>Minimum Capability List to Achieve Optimal N</w:t>
        </w:r>
        <w:r w:rsidRPr="002E63B0">
          <w:rPr>
            <w:rStyle w:val="Hyperlink"/>
          </w:rPr>
          <w:t>e</w:t>
        </w:r>
        <w:r w:rsidRPr="002E63B0">
          <w:rPr>
            <w:rStyle w:val="Hyperlink"/>
          </w:rPr>
          <w:t>xtGen Benefits, November 2019</w:t>
        </w:r>
      </w:hyperlink>
    </w:p>
    <w:p w14:paraId="08D70338" w14:textId="64C17B44" w:rsidR="002E63B0" w:rsidRPr="002E63B0" w:rsidRDefault="002E63B0" w:rsidP="002E63B0">
      <w:r w:rsidRPr="002E63B0">
        <w:lastRenderedPageBreak/>
        <w:drawing>
          <wp:inline distT="0" distB="0" distL="0" distR="0" wp14:anchorId="58C1F7B9" wp14:editId="3C24A457">
            <wp:extent cx="1693545" cy="2194560"/>
            <wp:effectExtent l="0" t="0" r="1905" b="0"/>
            <wp:docPr id="143197371" name="Picture 2" descr="NextGen – SESAR State of Harmonisation Third Edition, Septemb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xtGen – SESAR State of Harmonisation Third Edition, September 2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3545" cy="2194560"/>
                    </a:xfrm>
                    <a:prstGeom prst="rect">
                      <a:avLst/>
                    </a:prstGeom>
                    <a:noFill/>
                    <a:ln>
                      <a:noFill/>
                    </a:ln>
                  </pic:spPr>
                </pic:pic>
              </a:graphicData>
            </a:graphic>
          </wp:inline>
        </w:drawing>
      </w:r>
      <w:r w:rsidRPr="002E63B0">
        <w:br/>
      </w:r>
      <w:hyperlink r:id="rId14" w:history="1">
        <w:r w:rsidRPr="002E63B0">
          <w:rPr>
            <w:rStyle w:val="Hyperlink"/>
          </w:rPr>
          <w:t>NextGen – SESAR State of Harmonisation Third Edition, September 2018</w:t>
        </w:r>
      </w:hyperlink>
    </w:p>
    <w:p w14:paraId="3BA3217C" w14:textId="695CCFD0" w:rsidR="002E63B0" w:rsidRPr="002E63B0" w:rsidRDefault="002E63B0" w:rsidP="002E63B0">
      <w:r w:rsidRPr="002E63B0">
        <w:drawing>
          <wp:inline distT="0" distB="0" distL="0" distR="0" wp14:anchorId="244960C8" wp14:editId="19DDB45B">
            <wp:extent cx="1693545" cy="2194560"/>
            <wp:effectExtent l="0" t="0" r="1905" b="0"/>
            <wp:docPr id="40975179" name="Picture 1" descr="PBN NAS Navigation Strategy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BN NAS Navigation Strategy Cov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3545" cy="2194560"/>
                    </a:xfrm>
                    <a:prstGeom prst="rect">
                      <a:avLst/>
                    </a:prstGeom>
                    <a:noFill/>
                    <a:ln>
                      <a:noFill/>
                    </a:ln>
                  </pic:spPr>
                </pic:pic>
              </a:graphicData>
            </a:graphic>
          </wp:inline>
        </w:drawing>
      </w:r>
      <w:r w:rsidRPr="002E63B0">
        <w:br/>
      </w:r>
      <w:hyperlink r:id="rId16" w:history="1">
        <w:r w:rsidRPr="002E63B0">
          <w:rPr>
            <w:rStyle w:val="Hyperlink"/>
          </w:rPr>
          <w:t>PBN NAS Navigation Strategy, September 2016</w:t>
        </w:r>
      </w:hyperlink>
    </w:p>
    <w:p w14:paraId="7C4856FA" w14:textId="77777777" w:rsidR="002E63B0" w:rsidRPr="002E63B0" w:rsidRDefault="002E63B0" w:rsidP="002E63B0">
      <w:pPr>
        <w:rPr>
          <w:b/>
          <w:bCs/>
        </w:rPr>
      </w:pPr>
      <w:r w:rsidRPr="002E63B0">
        <w:rPr>
          <w:b/>
          <w:bCs/>
        </w:rPr>
        <w:t>Additional Documents</w:t>
      </w:r>
    </w:p>
    <w:p w14:paraId="7E3DB937" w14:textId="77777777" w:rsidR="002E63B0" w:rsidRPr="002E63B0" w:rsidRDefault="002E63B0" w:rsidP="002E63B0">
      <w:pPr>
        <w:numPr>
          <w:ilvl w:val="0"/>
          <w:numId w:val="1"/>
        </w:numPr>
      </w:pPr>
      <w:hyperlink r:id="rId17" w:history="1">
        <w:r w:rsidRPr="002E63B0">
          <w:rPr>
            <w:rStyle w:val="Hyperlink"/>
          </w:rPr>
          <w:t>NextGen Advisory Committee (NAC) Documents</w:t>
        </w:r>
      </w:hyperlink>
    </w:p>
    <w:p w14:paraId="20F771B0" w14:textId="77777777" w:rsidR="002E63B0" w:rsidRPr="002E63B0" w:rsidRDefault="002E63B0" w:rsidP="002E63B0">
      <w:pPr>
        <w:numPr>
          <w:ilvl w:val="0"/>
          <w:numId w:val="1"/>
        </w:numPr>
      </w:pPr>
      <w:hyperlink r:id="rId18" w:history="1">
        <w:r w:rsidRPr="002E63B0">
          <w:rPr>
            <w:rStyle w:val="Hyperlink"/>
          </w:rPr>
          <w:t>NextGen Implementation Plans</w:t>
        </w:r>
      </w:hyperlink>
    </w:p>
    <w:p w14:paraId="021F19C7"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625F0"/>
    <w:multiLevelType w:val="multilevel"/>
    <w:tmpl w:val="46F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83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B0"/>
    <w:rsid w:val="001023AE"/>
    <w:rsid w:val="002E63B0"/>
    <w:rsid w:val="00575BEF"/>
    <w:rsid w:val="006D1170"/>
    <w:rsid w:val="00A62D57"/>
    <w:rsid w:val="00AF1A4C"/>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4A81"/>
  <w15:chartTrackingRefBased/>
  <w15:docId w15:val="{0F9C3CFE-C8BC-4150-918E-67195E82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3B0"/>
    <w:rPr>
      <w:color w:val="0563C1" w:themeColor="hyperlink"/>
      <w:u w:val="single"/>
    </w:rPr>
  </w:style>
  <w:style w:type="character" w:styleId="UnresolvedMention">
    <w:name w:val="Unresolved Mention"/>
    <w:basedOn w:val="DefaultParagraphFont"/>
    <w:uiPriority w:val="99"/>
    <w:semiHidden/>
    <w:unhideWhenUsed/>
    <w:rsid w:val="002E63B0"/>
    <w:rPr>
      <w:color w:val="605E5C"/>
      <w:shd w:val="clear" w:color="auto" w:fill="E1DFDD"/>
    </w:rPr>
  </w:style>
  <w:style w:type="paragraph" w:styleId="Title">
    <w:name w:val="Title"/>
    <w:basedOn w:val="Normal"/>
    <w:next w:val="Normal"/>
    <w:link w:val="TitleChar"/>
    <w:uiPriority w:val="10"/>
    <w:qFormat/>
    <w:rsid w:val="002E6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3B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E6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86406">
      <w:bodyDiv w:val="1"/>
      <w:marLeft w:val="0"/>
      <w:marRight w:val="0"/>
      <w:marTop w:val="0"/>
      <w:marBottom w:val="0"/>
      <w:divBdr>
        <w:top w:val="none" w:sz="0" w:space="0" w:color="auto"/>
        <w:left w:val="none" w:sz="0" w:space="0" w:color="auto"/>
        <w:bottom w:val="none" w:sz="0" w:space="0" w:color="auto"/>
        <w:right w:val="none" w:sz="0" w:space="0" w:color="auto"/>
      </w:divBdr>
      <w:divsChild>
        <w:div w:id="266890779">
          <w:marLeft w:val="0"/>
          <w:marRight w:val="0"/>
          <w:marTop w:val="0"/>
          <w:marBottom w:val="0"/>
          <w:divBdr>
            <w:top w:val="none" w:sz="0" w:space="0" w:color="auto"/>
            <w:left w:val="none" w:sz="0" w:space="0" w:color="auto"/>
            <w:bottom w:val="none" w:sz="0" w:space="0" w:color="auto"/>
            <w:right w:val="none" w:sz="0" w:space="0" w:color="auto"/>
          </w:divBdr>
          <w:divsChild>
            <w:div w:id="165757157">
              <w:marLeft w:val="0"/>
              <w:marRight w:val="0"/>
              <w:marTop w:val="0"/>
              <w:marBottom w:val="0"/>
              <w:divBdr>
                <w:top w:val="none" w:sz="0" w:space="0" w:color="auto"/>
                <w:left w:val="none" w:sz="0" w:space="0" w:color="auto"/>
                <w:bottom w:val="none" w:sz="0" w:space="0" w:color="auto"/>
                <w:right w:val="none" w:sz="0" w:space="0" w:color="auto"/>
              </w:divBdr>
              <w:divsChild>
                <w:div w:id="801389451">
                  <w:marLeft w:val="0"/>
                  <w:marRight w:val="0"/>
                  <w:marTop w:val="0"/>
                  <w:marBottom w:val="0"/>
                  <w:divBdr>
                    <w:top w:val="none" w:sz="0" w:space="0" w:color="auto"/>
                    <w:left w:val="none" w:sz="0" w:space="0" w:color="auto"/>
                    <w:bottom w:val="none" w:sz="0" w:space="0" w:color="auto"/>
                    <w:right w:val="none" w:sz="0" w:space="0" w:color="auto"/>
                  </w:divBdr>
                  <w:divsChild>
                    <w:div w:id="2134403442">
                      <w:marLeft w:val="0"/>
                      <w:marRight w:val="0"/>
                      <w:marTop w:val="0"/>
                      <w:marBottom w:val="0"/>
                      <w:divBdr>
                        <w:top w:val="none" w:sz="0" w:space="0" w:color="auto"/>
                        <w:left w:val="none" w:sz="0" w:space="0" w:color="auto"/>
                        <w:bottom w:val="none" w:sz="0" w:space="0" w:color="auto"/>
                        <w:right w:val="none" w:sz="0" w:space="0" w:color="auto"/>
                      </w:divBdr>
                    </w:div>
                    <w:div w:id="1898544241">
                      <w:marLeft w:val="0"/>
                      <w:marRight w:val="0"/>
                      <w:marTop w:val="0"/>
                      <w:marBottom w:val="0"/>
                      <w:divBdr>
                        <w:top w:val="none" w:sz="0" w:space="0" w:color="auto"/>
                        <w:left w:val="none" w:sz="0" w:space="0" w:color="auto"/>
                        <w:bottom w:val="none" w:sz="0" w:space="0" w:color="auto"/>
                        <w:right w:val="none" w:sz="0" w:space="0" w:color="auto"/>
                      </w:divBdr>
                    </w:div>
                  </w:divsChild>
                </w:div>
                <w:div w:id="1250851819">
                  <w:marLeft w:val="0"/>
                  <w:marRight w:val="0"/>
                  <w:marTop w:val="0"/>
                  <w:marBottom w:val="0"/>
                  <w:divBdr>
                    <w:top w:val="none" w:sz="0" w:space="0" w:color="auto"/>
                    <w:left w:val="none" w:sz="0" w:space="0" w:color="auto"/>
                    <w:bottom w:val="none" w:sz="0" w:space="0" w:color="auto"/>
                    <w:right w:val="none" w:sz="0" w:space="0" w:color="auto"/>
                  </w:divBdr>
                  <w:divsChild>
                    <w:div w:id="1419717868">
                      <w:marLeft w:val="0"/>
                      <w:marRight w:val="0"/>
                      <w:marTop w:val="0"/>
                      <w:marBottom w:val="0"/>
                      <w:divBdr>
                        <w:top w:val="none" w:sz="0" w:space="0" w:color="auto"/>
                        <w:left w:val="none" w:sz="0" w:space="0" w:color="auto"/>
                        <w:bottom w:val="none" w:sz="0" w:space="0" w:color="auto"/>
                        <w:right w:val="none" w:sz="0" w:space="0" w:color="auto"/>
                      </w:divBdr>
                    </w:div>
                    <w:div w:id="18805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gov/nextgen/reporting-benefits" TargetMode="External"/><Relationship Id="rId13" Type="http://schemas.openxmlformats.org/officeDocument/2006/relationships/image" Target="media/image3.jpeg"/><Relationship Id="rId18" Type="http://schemas.openxmlformats.org/officeDocument/2006/relationships/hyperlink" Target="https://www.faa.gov/nextgen/background/accomplishments" TargetMode="External"/><Relationship Id="rId3" Type="http://schemas.openxmlformats.org/officeDocument/2006/relationships/settings" Target="settings.xml"/><Relationship Id="rId7" Type="http://schemas.openxmlformats.org/officeDocument/2006/relationships/hyperlink" Target="https://www.faa.gov/nextgen/future" TargetMode="External"/><Relationship Id="rId12" Type="http://schemas.openxmlformats.org/officeDocument/2006/relationships/hyperlink" Target="https://www.faa.gov/sites/faa.gov/files/about/office_org/headquarters_offices/ang/Minimum_Capability_List_to_Achieve_Optimal_NextGen_Benefits.pdf" TargetMode="External"/><Relationship Id="rId17" Type="http://schemas.openxmlformats.org/officeDocument/2006/relationships/hyperlink" Target="https://www.faa.gov/about/office_org/headquarters_offices/ang/nac/" TargetMode="External"/><Relationship Id="rId2" Type="http://schemas.openxmlformats.org/officeDocument/2006/relationships/styles" Target="styles.xml"/><Relationship Id="rId16" Type="http://schemas.openxmlformats.org/officeDocument/2006/relationships/hyperlink" Target="https://www.faa.gov/nextgen/pbn-nas-navigation-strateg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a.gov/nextgen/today" TargetMode="External"/><Relationship Id="rId11" Type="http://schemas.openxmlformats.org/officeDocument/2006/relationships/image" Target="media/image2.jpeg"/><Relationship Id="rId5" Type="http://schemas.openxmlformats.org/officeDocument/2006/relationships/hyperlink" Target="https://www.faa.gov/nextgen/background" TargetMode="External"/><Relationship Id="rId15" Type="http://schemas.openxmlformats.org/officeDocument/2006/relationships/image" Target="media/image4.jpeg"/><Relationship Id="rId10" Type="http://schemas.openxmlformats.org/officeDocument/2006/relationships/hyperlink" Target="https://www.faa.gov/nextgen/NextGen-Annual-Report-202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aa.gov/nextgen/nextgen-sesar-state-harmo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2024-09-15T15:20:00Z</dcterms:created>
  <dcterms:modified xsi:type="dcterms:W3CDTF">2024-09-15T16:48:00Z</dcterms:modified>
</cp:coreProperties>
</file>