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760EB" w14:textId="54C42A21" w:rsidR="003B22BF" w:rsidRPr="003B22BF" w:rsidRDefault="003B22BF" w:rsidP="003B22BF">
      <w:pPr>
        <w:pStyle w:val="Title"/>
      </w:pPr>
      <w:r w:rsidRPr="003B22BF">
        <w:t>Transition to performance-based navigation (PBN) operations</w:t>
      </w:r>
      <w:r>
        <w:t xml:space="preserve"> </w:t>
      </w:r>
      <w:r w:rsidRPr="003B22BF">
        <w:t xml:space="preserve">in the single European sky </w:t>
      </w:r>
    </w:p>
    <w:p w14:paraId="280F4AAB" w14:textId="77777777" w:rsidR="003B22BF" w:rsidRPr="003B22BF" w:rsidRDefault="003B22BF" w:rsidP="003B22BF">
      <w:hyperlink r:id="rId5" w:history="1">
        <w:r w:rsidRPr="003B22BF">
          <w:rPr>
            <w:rStyle w:val="Hyperlink"/>
          </w:rPr>
          <w:t>Regulation (EU) 2018/1048</w:t>
        </w:r>
      </w:hyperlink>
      <w:r w:rsidRPr="003B22BF">
        <w:t>, the implementing regulation for Performance-Based Navigation (PBN IR), seeks to enhance aircraft operations by transitioning to ensure most operations apply PBN by June 6, 2030.</w:t>
      </w:r>
    </w:p>
    <w:p w14:paraId="6DB0488D" w14:textId="77777777" w:rsidR="003B22BF" w:rsidRPr="003B22BF" w:rsidRDefault="003B22BF" w:rsidP="003B22BF">
      <w:r w:rsidRPr="003B22BF">
        <w:t>This regulation was published in 2018 and stipulates that providers of air traffic management/air navigation services (ATM/ANS) and operators of aerodromes must implement PBN routes and approach procedures according to specific implementation deadlines, i.e., 3 December 2020, 25 January 2024, and 6 June 2030; hence a gradual implementation of PBN has already started.</w:t>
      </w:r>
    </w:p>
    <w:p w14:paraId="1EDC3F89" w14:textId="77777777" w:rsidR="003B22BF" w:rsidRPr="003B22BF" w:rsidRDefault="003B22BF" w:rsidP="003B22BF">
      <w:pPr>
        <w:rPr>
          <w:b/>
          <w:bCs/>
        </w:rPr>
      </w:pPr>
      <w:r w:rsidRPr="003B22BF">
        <w:rPr>
          <w:b/>
          <w:bCs/>
        </w:rPr>
        <w:t>PBN harmonisation</w:t>
      </w:r>
    </w:p>
    <w:p w14:paraId="027E3D6B" w14:textId="77777777" w:rsidR="003B22BF" w:rsidRPr="003B22BF" w:rsidRDefault="003B22BF" w:rsidP="003B22BF">
      <w:r w:rsidRPr="003B22BF">
        <w:t xml:space="preserve">The PBN IR identifies the navigation specifications and functionalities to be used for enroute ATS routes, standard instrument departure routes (SID), standard arrival routes (STAR), and approach procedures. These routes and approach procedures are to be based on the RNAV 1, RNP 1, RNP 0.3, RNAV 5, RNP APCH (to LNAV, LNAV/VNAV and LPV minima) or RNP AR APCH specifications, as required by the </w:t>
      </w:r>
      <w:hyperlink r:id="rId6" w:anchor="deadline" w:history="1">
        <w:r w:rsidRPr="003B22BF">
          <w:rPr>
            <w:rStyle w:val="Hyperlink"/>
          </w:rPr>
          <w:t>PBN IR implementation deadlines</w:t>
        </w:r>
      </w:hyperlink>
      <w:r w:rsidRPr="003B22BF">
        <w:t xml:space="preserve">. On 26 May 2023, EASA published the </w:t>
      </w:r>
      <w:hyperlink r:id="rId7" w:history="1">
        <w:r w:rsidRPr="003B22BF">
          <w:rPr>
            <w:rStyle w:val="Hyperlink"/>
          </w:rPr>
          <w:t>Notice of Proposed Amendment (NPA) 2023-04</w:t>
        </w:r>
      </w:hyperlink>
      <w:r w:rsidRPr="003B22BF">
        <w:t>, which makes a regulatory proposal that considers the use of the RNP 4 and RNAV 10 specifications in support of oceanic and remote continental operations. The use of a common set of ICAO specifications and functionalities allows the harmonisation of the onboard capabilities to perform PBN operations in the single European sky.</w:t>
      </w:r>
    </w:p>
    <w:p w14:paraId="4006F2C2" w14:textId="77777777" w:rsidR="003B22BF" w:rsidRPr="003B22BF" w:rsidRDefault="003B22BF" w:rsidP="003B22BF">
      <w:pPr>
        <w:rPr>
          <w:b/>
          <w:bCs/>
        </w:rPr>
      </w:pPr>
      <w:r w:rsidRPr="003B22BF">
        <w:rPr>
          <w:b/>
          <w:bCs/>
        </w:rPr>
        <w:t>Get ready for the changes in the airspace</w:t>
      </w:r>
    </w:p>
    <w:p w14:paraId="659BE1DB" w14:textId="77777777" w:rsidR="003B22BF" w:rsidRPr="003B22BF" w:rsidRDefault="003B22BF" w:rsidP="003B22BF">
      <w:r w:rsidRPr="003B22BF">
        <w:t xml:space="preserve">Although the PBN IR does not impose any requirements on aircraft operators, other EU regulations require aircraft to be suitably equipped and flight crew to be qualified to operate on the intended routes and approach procedures, including any necessary aircraft’s capability, operational approval, training, manuals, etc. Hence, to ensure continued and effective operation, </w:t>
      </w:r>
      <w:r w:rsidRPr="003B22BF">
        <w:rPr>
          <w:b/>
          <w:bCs/>
        </w:rPr>
        <w:t>aircraft operators should adapt their aircraft and operations to the ANS provided</w:t>
      </w:r>
      <w:r w:rsidRPr="003B22BF">
        <w:t>.</w:t>
      </w:r>
    </w:p>
    <w:p w14:paraId="28347630" w14:textId="77777777" w:rsidR="003B22BF" w:rsidRPr="003B22BF" w:rsidRDefault="003B22BF" w:rsidP="003B22BF">
      <w:r w:rsidRPr="003B22BF">
        <w:t>It is expected that the current conventional navigation infrastructure will be progressively rationalised, as PBN allows decommissioning of more costly or less performing equipment. However, a network of conventional navigation aids will be retained to ensure that safety and security will not be compromised in case of contingencies, i.e., situations where for unexpected reasons beyond service providers’ control, Global Navigation Satellite System (GNSS) or other methods used for PBN are no longer available.</w:t>
      </w:r>
    </w:p>
    <w:p w14:paraId="7FA6CAED" w14:textId="77777777" w:rsidR="003B22BF" w:rsidRPr="003B22BF" w:rsidRDefault="003B22BF" w:rsidP="003B22BF">
      <w:r w:rsidRPr="003B22BF">
        <w:rPr>
          <w:b/>
          <w:bCs/>
        </w:rPr>
        <w:t>As of 6th June 2030,</w:t>
      </w:r>
      <w:r w:rsidRPr="003B22BF">
        <w:t xml:space="preserve"> the PBN IR expressly forbids the use of conventional navigation procedures or the use of PBN not contemplated in the Regulation, except in the event of contingencies (e.g., GNSS outages). In particular, the Regulation restricts category (CAT) I operations supported by instrument landing system (ILS), while it requires the implementation of PBN approaches (RNP APCH) down to localiser performance with vertical guidance (LPV) minima at all instrument runway ends.</w:t>
      </w:r>
    </w:p>
    <w:p w14:paraId="3CC3EED8" w14:textId="77777777" w:rsidR="003B22BF" w:rsidRPr="003B22BF" w:rsidRDefault="003B22BF" w:rsidP="003B22BF">
      <w:r w:rsidRPr="003B22BF">
        <w:t xml:space="preserve">Considering that, as of 6 June 2030, ILS CAT I approaches will only be used in case of contingency, aircraft operators should consider equipping their aircraft with satellite-based augmentation system </w:t>
      </w:r>
      <w:r w:rsidRPr="003B22BF">
        <w:lastRenderedPageBreak/>
        <w:t>(SBAS) avionics supporting RNP APCH operations to LPV minima and training their flight crews accordingly to ensure accessibility to airports in meteorological conditions requiring CAT I operations.</w:t>
      </w:r>
    </w:p>
    <w:p w14:paraId="43AE9AFA" w14:textId="77777777" w:rsidR="003B22BF" w:rsidRPr="003B22BF" w:rsidRDefault="003B22BF" w:rsidP="003B22BF">
      <w:r w:rsidRPr="003B22BF">
        <w:t>Since PBN cannot enable approach operations below CAT I minima, landing systems (i.e., ILS/GLS) enabling CAT II and CAT III operations are expressly permitted after 5 June 2030. Approach operations supported by GBAS landing system (GLS) CAT I facilities are not within the scope of the PBN IR, so they are not affected by the restrictions, and can continue to be used after the referred to deadline.</w:t>
      </w:r>
    </w:p>
    <w:p w14:paraId="1C7C3FBD" w14:textId="77777777" w:rsidR="003B22BF" w:rsidRPr="003B22BF" w:rsidRDefault="003B22BF" w:rsidP="003B22BF">
      <w:r w:rsidRPr="003B22BF">
        <w:t>Depending on the local performance needs, either RNAV 1 or RNP 1 SID and STAR are being implemented where conventional SID and STAR are established. Therefore, aircraft will need to be equipped with avionics supporting RNAV 1 or RNP 1 operations and their flight crews will need to be qualified to operate on these PBN routes. For rotorcraft operations, the RNP 0.3 specification may alternatively be required to operate on the new routes.</w:t>
      </w:r>
    </w:p>
    <w:p w14:paraId="65A6041C" w14:textId="77777777" w:rsidR="003B22BF" w:rsidRPr="003B22BF" w:rsidRDefault="003B22BF" w:rsidP="003B22BF">
      <w:pPr>
        <w:rPr>
          <w:b/>
          <w:bCs/>
        </w:rPr>
      </w:pPr>
      <w:r w:rsidRPr="003B22BF">
        <w:rPr>
          <w:b/>
          <w:bCs/>
        </w:rPr>
        <w:t>Transition plans consultation</w:t>
      </w:r>
    </w:p>
    <w:p w14:paraId="2CF886D5" w14:textId="77777777" w:rsidR="003B22BF" w:rsidRPr="003B22BF" w:rsidRDefault="003B22BF" w:rsidP="003B22BF">
      <w:r w:rsidRPr="003B22BF">
        <w:t>The PBN IR requires the implementation of concrete measures to ensure a smooth and safe transition to PBN operations, including the establishment and approval of PBN transition plans. As a prerequisite for their approval, transition plans and any significant update thereof, must be consulted with all civil and military stakeholders concerned, including all affected aircraft operators or their representative organisations. Most PBN transition plans have already been approved and may be updated to describe the transition to PBN, particularly, the definition of the end-state after 5 June 2030.</w:t>
      </w:r>
    </w:p>
    <w:p w14:paraId="555958FE" w14:textId="77777777" w:rsidR="003B22BF" w:rsidRPr="003B22BF" w:rsidRDefault="003B22BF" w:rsidP="003B22BF">
      <w:r w:rsidRPr="003B22BF">
        <w:t>EASA invites civil and military aircraft operators and their representatives’ organisations to take an active role during these consultations, for instance by:</w:t>
      </w:r>
    </w:p>
    <w:p w14:paraId="5FB7EA47" w14:textId="77777777" w:rsidR="003B22BF" w:rsidRPr="003B22BF" w:rsidRDefault="003B22BF" w:rsidP="003B22BF">
      <w:pPr>
        <w:numPr>
          <w:ilvl w:val="0"/>
          <w:numId w:val="2"/>
        </w:numPr>
      </w:pPr>
      <w:r w:rsidRPr="003B22BF">
        <w:t>sharing information about the current navigation capabilities of their aircraft and about the plans to get equipped (e.g., with inertial and SBAS avionics) in the years to come.</w:t>
      </w:r>
    </w:p>
    <w:p w14:paraId="2DA3961D" w14:textId="77777777" w:rsidR="003B22BF" w:rsidRPr="003B22BF" w:rsidRDefault="003B22BF" w:rsidP="003B22BF">
      <w:pPr>
        <w:numPr>
          <w:ilvl w:val="0"/>
          <w:numId w:val="2"/>
        </w:numPr>
      </w:pPr>
      <w:r w:rsidRPr="003B22BF">
        <w:t>addressing the operation of capable and non-capable aircraft (in accordance with the required PBN capabilities) during the transition; and</w:t>
      </w:r>
    </w:p>
    <w:p w14:paraId="77C294B9" w14:textId="77777777" w:rsidR="003B22BF" w:rsidRPr="003B22BF" w:rsidRDefault="003B22BF" w:rsidP="003B22BF">
      <w:pPr>
        <w:numPr>
          <w:ilvl w:val="0"/>
          <w:numId w:val="2"/>
        </w:numPr>
      </w:pPr>
      <w:r w:rsidRPr="003B22BF">
        <w:t>promoting operational changes in the airspace with a view to maximising safety, flight efficiency, and environmental gains, e.g., changes leading to reduction in fuel consumption.</w:t>
      </w:r>
    </w:p>
    <w:p w14:paraId="7ED07444" w14:textId="77777777" w:rsidR="003B22BF" w:rsidRPr="003B22BF" w:rsidRDefault="003B22BF" w:rsidP="003B22BF">
      <w:r w:rsidRPr="003B22BF">
        <w:t>In addition, aircraft operators are reminded about the obligation to provide the correct PBN capability information when filing flight plans.</w:t>
      </w:r>
    </w:p>
    <w:p w14:paraId="1E0946AC" w14:textId="77777777" w:rsidR="003B22BF" w:rsidRPr="003B22BF" w:rsidRDefault="003B22BF" w:rsidP="003B22BF">
      <w:pPr>
        <w:rPr>
          <w:b/>
          <w:bCs/>
        </w:rPr>
      </w:pPr>
      <w:r w:rsidRPr="003B22BF">
        <w:rPr>
          <w:b/>
          <w:bCs/>
        </w:rPr>
        <w:t>PBN-related guidance by EASA</w:t>
      </w:r>
    </w:p>
    <w:p w14:paraId="64E8F299" w14:textId="77777777" w:rsidR="003B22BF" w:rsidRPr="003B22BF" w:rsidRDefault="003B22BF" w:rsidP="003B22BF">
      <w:r w:rsidRPr="003B22BF">
        <w:t xml:space="preserve">EASA has published guidance material enabling PBN implementation in all relevant areas, such as aircraft certification, flight crew licencing, or flight procedure design; EASA is also supporting and monitoring the progress of the implementation. Furthermore, EASA has published </w:t>
      </w:r>
      <w:hyperlink r:id="rId8" w:anchor="category-airspace-usage-requirements---pbn-performance-based-navigation" w:history="1">
        <w:r w:rsidRPr="003B22BF">
          <w:rPr>
            <w:rStyle w:val="Hyperlink"/>
          </w:rPr>
          <w:t>FAQs on PBN implementation</w:t>
        </w:r>
      </w:hyperlink>
      <w:r w:rsidRPr="003B22BF">
        <w:t xml:space="preserve"> on its website, which may be further revised as implementation progresses.</w:t>
      </w:r>
    </w:p>
    <w:p w14:paraId="57AFC7AC" w14:textId="77777777" w:rsidR="003B22BF" w:rsidRPr="003B22BF" w:rsidRDefault="003B22BF" w:rsidP="003B22BF">
      <w:bookmarkStart w:id="0" w:name="deadline"/>
      <w:bookmarkEnd w:id="0"/>
      <w:r w:rsidRPr="003B22BF">
        <w:t xml:space="preserve">Should you require additional information please </w:t>
      </w:r>
      <w:hyperlink r:id="rId9" w:history="1">
        <w:r w:rsidRPr="003B22BF">
          <w:rPr>
            <w:rStyle w:val="Hyperlink"/>
          </w:rPr>
          <w:t>contact us</w:t>
        </w:r>
      </w:hyperlink>
      <w:r w:rsidRPr="003B22BF">
        <w:t>.</w:t>
      </w:r>
    </w:p>
    <w:p w14:paraId="0D8C0780" w14:textId="77777777" w:rsidR="003B22BF" w:rsidRPr="003B22BF" w:rsidRDefault="003B22BF" w:rsidP="003B22BF">
      <w:pPr>
        <w:rPr>
          <w:b/>
          <w:bCs/>
        </w:rPr>
      </w:pPr>
      <w:r w:rsidRPr="003B22BF">
        <w:rPr>
          <w:b/>
          <w:bCs/>
        </w:rPr>
        <w:t>PBN IR implementation deadlines</w:t>
      </w:r>
    </w:p>
    <w:p w14:paraId="50087032" w14:textId="77777777" w:rsidR="003B22BF" w:rsidRPr="003B22BF" w:rsidRDefault="003B22BF" w:rsidP="003B22BF">
      <w:pPr>
        <w:rPr>
          <w:b/>
          <w:bCs/>
        </w:rPr>
      </w:pPr>
      <w:r w:rsidRPr="003B22BF">
        <w:rPr>
          <w:b/>
          <w:bCs/>
        </w:rPr>
        <w:t>Implementation by 3 December 2020</w:t>
      </w:r>
    </w:p>
    <w:p w14:paraId="6EC51EEE" w14:textId="77777777" w:rsidR="003B22BF" w:rsidRPr="003B22BF" w:rsidRDefault="003B22BF" w:rsidP="003B22BF">
      <w:pPr>
        <w:numPr>
          <w:ilvl w:val="0"/>
          <w:numId w:val="3"/>
        </w:numPr>
      </w:pPr>
      <w:r w:rsidRPr="003B22BF">
        <w:t>RNP APCH or RNP AR to all IREs without PA, except at those airports listed in point 1.2.1 of the Annex to the PCP Regulation , and, where required, RF legs</w:t>
      </w:r>
    </w:p>
    <w:p w14:paraId="1B407877" w14:textId="77777777" w:rsidR="003B22BF" w:rsidRPr="003B22BF" w:rsidRDefault="003B22BF" w:rsidP="003B22BF">
      <w:pPr>
        <w:numPr>
          <w:ilvl w:val="0"/>
          <w:numId w:val="3"/>
        </w:numPr>
      </w:pPr>
      <w:r w:rsidRPr="003B22BF">
        <w:lastRenderedPageBreak/>
        <w:t>RNAV 5 for all ATS routes at or above FL150</w:t>
      </w:r>
    </w:p>
    <w:p w14:paraId="135A2534" w14:textId="77777777" w:rsidR="003B22BF" w:rsidRPr="003B22BF" w:rsidRDefault="003B22BF" w:rsidP="003B22BF">
      <w:pPr>
        <w:rPr>
          <w:b/>
          <w:bCs/>
        </w:rPr>
      </w:pPr>
      <w:r w:rsidRPr="003B22BF">
        <w:rPr>
          <w:b/>
          <w:bCs/>
        </w:rPr>
        <w:t>Implementation by 25 January 2024</w:t>
      </w:r>
    </w:p>
    <w:p w14:paraId="045209AC" w14:textId="77777777" w:rsidR="003B22BF" w:rsidRPr="003B22BF" w:rsidRDefault="003B22BF" w:rsidP="003B22BF">
      <w:pPr>
        <w:numPr>
          <w:ilvl w:val="0"/>
          <w:numId w:val="4"/>
        </w:numPr>
      </w:pPr>
      <w:r w:rsidRPr="003B22BF">
        <w:t>RNP APCH or RNP AR to all IREs, and, where required, RF legs</w:t>
      </w:r>
    </w:p>
    <w:p w14:paraId="5A49AD6D" w14:textId="77777777" w:rsidR="003B22BF" w:rsidRPr="003B22BF" w:rsidRDefault="003B22BF" w:rsidP="003B22BF">
      <w:pPr>
        <w:numPr>
          <w:ilvl w:val="0"/>
          <w:numId w:val="4"/>
        </w:numPr>
      </w:pPr>
      <w:r w:rsidRPr="003B22BF">
        <w:t>For all IREs, RNAV 1 or RNP 1(+) for at least one established SID/STAR</w:t>
      </w:r>
    </w:p>
    <w:p w14:paraId="578F134D" w14:textId="77777777" w:rsidR="003B22BF" w:rsidRPr="003B22BF" w:rsidRDefault="003B22BF" w:rsidP="003B22BF">
      <w:pPr>
        <w:numPr>
          <w:ilvl w:val="0"/>
          <w:numId w:val="4"/>
        </w:numPr>
      </w:pPr>
      <w:r w:rsidRPr="003B22BF">
        <w:t>For all IREs, RNP 0.3 or RNP 1 or RNAV 1 for at least one established SID/STAR for rotorcraft operations</w:t>
      </w:r>
    </w:p>
    <w:p w14:paraId="26E44F9C" w14:textId="77777777" w:rsidR="003B22BF" w:rsidRPr="003B22BF" w:rsidRDefault="003B22BF" w:rsidP="003B22BF">
      <w:pPr>
        <w:numPr>
          <w:ilvl w:val="0"/>
          <w:numId w:val="4"/>
        </w:numPr>
      </w:pPr>
      <w:r w:rsidRPr="003B22BF">
        <w:t>RNAV 5 for ATS routes established below FL150</w:t>
      </w:r>
    </w:p>
    <w:p w14:paraId="1FCED6F6" w14:textId="77777777" w:rsidR="003B22BF" w:rsidRPr="003B22BF" w:rsidRDefault="003B22BF" w:rsidP="003B22BF">
      <w:pPr>
        <w:numPr>
          <w:ilvl w:val="0"/>
          <w:numId w:val="4"/>
        </w:numPr>
      </w:pPr>
      <w:r w:rsidRPr="003B22BF">
        <w:t>RNP 0.3 or RNP 1 or RNAV 1 for ATS routes established below FL150 for rotorcraft operations</w:t>
      </w:r>
    </w:p>
    <w:p w14:paraId="5D195330" w14:textId="77777777" w:rsidR="003B22BF" w:rsidRPr="003B22BF" w:rsidRDefault="003B22BF" w:rsidP="003B22BF">
      <w:pPr>
        <w:rPr>
          <w:b/>
          <w:bCs/>
        </w:rPr>
      </w:pPr>
      <w:r w:rsidRPr="003B22BF">
        <w:rPr>
          <w:b/>
          <w:bCs/>
        </w:rPr>
        <w:t>Implementation by 6 June 2030</w:t>
      </w:r>
    </w:p>
    <w:p w14:paraId="2F993EA4" w14:textId="77777777" w:rsidR="003B22BF" w:rsidRPr="003B22BF" w:rsidRDefault="003B22BF" w:rsidP="003B22BF">
      <w:pPr>
        <w:numPr>
          <w:ilvl w:val="0"/>
          <w:numId w:val="5"/>
        </w:numPr>
      </w:pPr>
      <w:r w:rsidRPr="003B22BF">
        <w:t>RNAV 1 or RNP 1(+) applicable to all SIDs/STARs when established</w:t>
      </w:r>
    </w:p>
    <w:p w14:paraId="2504EA21" w14:textId="77777777" w:rsidR="003B22BF" w:rsidRPr="003B22BF" w:rsidRDefault="003B22BF" w:rsidP="003B22BF">
      <w:pPr>
        <w:numPr>
          <w:ilvl w:val="0"/>
          <w:numId w:val="5"/>
        </w:numPr>
      </w:pPr>
      <w:r w:rsidRPr="003B22BF">
        <w:t>RNP 0.3 or RNP 1 or RNAV 1 applicable to all SIDs/STARs for rotorcraft operations when established</w:t>
      </w:r>
    </w:p>
    <w:p w14:paraId="4896B194" w14:textId="77777777" w:rsidR="003B22BF" w:rsidRPr="003B22BF" w:rsidRDefault="003B22BF" w:rsidP="003B22BF">
      <w:r w:rsidRPr="003B22BF">
        <w:rPr>
          <w:b/>
          <w:bCs/>
        </w:rPr>
        <w:t>Abbreviations:</w:t>
      </w:r>
      <w:r w:rsidRPr="003B22BF">
        <w:br/>
        <w:t>IRE: instrument runway end</w:t>
      </w:r>
      <w:r w:rsidRPr="003B22BF">
        <w:br/>
        <w:t>PA: precision approach</w:t>
      </w:r>
      <w:r w:rsidRPr="003B22BF">
        <w:br/>
        <w:t>RNP 1(+): RNP 1 specification including RF and/or vertical paths defined by constraints</w:t>
      </w:r>
      <w:r w:rsidRPr="003B22BF">
        <w:br/>
        <w:t>SID: standard instrument departure</w:t>
      </w:r>
      <w:r w:rsidRPr="003B22BF">
        <w:br/>
        <w:t>STAR: standard instrument arrival</w:t>
      </w:r>
      <w:r w:rsidRPr="003B22BF">
        <w:br/>
        <w:t>RF: radius to fix</w:t>
      </w:r>
      <w:r w:rsidRPr="003B22BF">
        <w:br/>
        <w:t>RNAV X &amp; RNP X: area navigation (RNAV) &amp; required navigation performance (RNP) navigation specifications</w:t>
      </w:r>
      <w:r w:rsidRPr="003B22BF">
        <w:br/>
        <w:t> </w:t>
      </w:r>
    </w:p>
    <w:p w14:paraId="58276071" w14:textId="77777777" w:rsidR="003B22BF" w:rsidRPr="003B22BF" w:rsidRDefault="003B22BF" w:rsidP="003B22BF">
      <w:r w:rsidRPr="003B22BF">
        <w:t> </w:t>
      </w:r>
    </w:p>
    <w:p w14:paraId="79ABBB8B" w14:textId="77777777" w:rsidR="003B22BF" w:rsidRPr="003B22BF" w:rsidRDefault="003B22BF" w:rsidP="003B22BF">
      <w:pPr>
        <w:rPr>
          <w:b/>
          <w:bCs/>
        </w:rPr>
      </w:pPr>
      <w:r w:rsidRPr="003B22BF">
        <w:rPr>
          <w:b/>
          <w:bCs/>
        </w:rPr>
        <w:t>Related Content</w:t>
      </w:r>
    </w:p>
    <w:p w14:paraId="4C46C44C" w14:textId="77777777" w:rsidR="003B22BF" w:rsidRPr="003B22BF" w:rsidRDefault="003B22BF" w:rsidP="003B22BF">
      <w:pPr>
        <w:rPr>
          <w:b/>
          <w:bCs/>
        </w:rPr>
      </w:pPr>
      <w:hyperlink r:id="rId10" w:history="1">
        <w:r w:rsidRPr="003B22BF">
          <w:rPr>
            <w:rStyle w:val="Hyperlink"/>
            <w:b/>
            <w:bCs/>
          </w:rPr>
          <w:t>Commission Implementing Regulation (EU) 2018/1048</w:t>
        </w:r>
      </w:hyperlink>
      <w:r w:rsidRPr="003B22BF">
        <w:rPr>
          <w:b/>
          <w:bCs/>
        </w:rPr>
        <w:t xml:space="preserve"> </w:t>
      </w:r>
    </w:p>
    <w:p w14:paraId="51E57ABD" w14:textId="77777777" w:rsidR="003B22BF" w:rsidRPr="003B22BF" w:rsidRDefault="003B22BF" w:rsidP="003B22BF">
      <w:hyperlink r:id="rId11" w:anchor="category-airspace-usage-requirements---pbn-performance-based-navigation" w:history="1">
        <w:r w:rsidRPr="003B22BF">
          <w:rPr>
            <w:rStyle w:val="Hyperlink"/>
          </w:rPr>
          <w:t>FAQs - Airspace Usage Requirements - PBN (Performance-based navigation)</w:t>
        </w:r>
      </w:hyperlink>
    </w:p>
    <w:p w14:paraId="6BA28A69" w14:textId="77777777" w:rsidR="003B22BF" w:rsidRPr="003B22BF" w:rsidRDefault="003B22BF" w:rsidP="003B22BF">
      <w:pPr>
        <w:rPr>
          <w:b/>
          <w:bCs/>
        </w:rPr>
      </w:pPr>
      <w:hyperlink r:id="rId12" w:history="1">
        <w:r w:rsidRPr="003B22BF">
          <w:rPr>
            <w:rStyle w:val="Hyperlink"/>
            <w:b/>
            <w:bCs/>
          </w:rPr>
          <w:t>AMC &amp; GM to AUR — Issue 2</w:t>
        </w:r>
      </w:hyperlink>
      <w:r w:rsidRPr="003B22BF">
        <w:rPr>
          <w:b/>
          <w:bCs/>
        </w:rPr>
        <w:t xml:space="preserve"> </w:t>
      </w:r>
    </w:p>
    <w:p w14:paraId="55A4D19C" w14:textId="77777777" w:rsidR="003B22BF" w:rsidRPr="003B22BF" w:rsidRDefault="003B22BF" w:rsidP="003B22BF">
      <w:pPr>
        <w:rPr>
          <w:b/>
          <w:bCs/>
          <w:lang w:val="it-IT"/>
        </w:rPr>
      </w:pPr>
      <w:hyperlink r:id="rId13" w:history="1">
        <w:r w:rsidRPr="003B22BF">
          <w:rPr>
            <w:rStyle w:val="Hyperlink"/>
            <w:b/>
            <w:bCs/>
            <w:lang w:val="it-IT"/>
          </w:rPr>
          <w:t>NPA 2023-04</w:t>
        </w:r>
      </w:hyperlink>
      <w:r w:rsidRPr="003B22BF">
        <w:rPr>
          <w:b/>
          <w:bCs/>
          <w:lang w:val="it-IT"/>
        </w:rPr>
        <w:t xml:space="preserve"> </w:t>
      </w:r>
    </w:p>
    <w:p w14:paraId="2F0A2411" w14:textId="77777777" w:rsidR="003B22BF" w:rsidRPr="003B22BF" w:rsidRDefault="003B22BF" w:rsidP="003B22BF">
      <w:pPr>
        <w:rPr>
          <w:lang w:val="it-IT"/>
        </w:rPr>
      </w:pPr>
      <w:hyperlink r:id="rId14" w:history="1">
        <w:r w:rsidRPr="003B22BF">
          <w:rPr>
            <w:rStyle w:val="Hyperlink"/>
            <w:lang w:val="it-IT"/>
          </w:rPr>
          <w:t>EASA SIB No. 2023-03</w:t>
        </w:r>
      </w:hyperlink>
    </w:p>
    <w:p w14:paraId="33166436" w14:textId="77777777" w:rsidR="003B22BF" w:rsidRPr="003B22BF" w:rsidRDefault="003B22BF" w:rsidP="003B22BF">
      <w:pPr>
        <w:rPr>
          <w:lang w:val="it-IT"/>
        </w:rPr>
      </w:pPr>
      <w:hyperlink r:id="rId15" w:history="1">
        <w:r w:rsidRPr="003B22BF">
          <w:rPr>
            <w:rStyle w:val="Hyperlink"/>
            <w:lang w:val="it-IT"/>
          </w:rPr>
          <w:t>EASA SIB No. 2022-02R1</w:t>
        </w:r>
      </w:hyperlink>
    </w:p>
    <w:p w14:paraId="72F1B68E" w14:textId="77777777" w:rsidR="00F14BCF" w:rsidRPr="003B22BF" w:rsidRDefault="00F14BCF">
      <w:pPr>
        <w:rPr>
          <w:lang w:val="it-IT"/>
        </w:rPr>
      </w:pPr>
    </w:p>
    <w:sectPr w:rsidR="00F14BCF" w:rsidRPr="003B22B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838"/>
    <w:multiLevelType w:val="multilevel"/>
    <w:tmpl w:val="2694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561EA"/>
    <w:multiLevelType w:val="multilevel"/>
    <w:tmpl w:val="1652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84F"/>
    <w:multiLevelType w:val="multilevel"/>
    <w:tmpl w:val="97A8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E5E01"/>
    <w:multiLevelType w:val="multilevel"/>
    <w:tmpl w:val="3D8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42B45"/>
    <w:multiLevelType w:val="multilevel"/>
    <w:tmpl w:val="6E2A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667342">
    <w:abstractNumId w:val="4"/>
  </w:num>
  <w:num w:numId="2" w16cid:durableId="320040753">
    <w:abstractNumId w:val="2"/>
  </w:num>
  <w:num w:numId="3" w16cid:durableId="797527710">
    <w:abstractNumId w:val="1"/>
  </w:num>
  <w:num w:numId="4" w16cid:durableId="2088918925">
    <w:abstractNumId w:val="3"/>
  </w:num>
  <w:num w:numId="5" w16cid:durableId="185522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BF"/>
    <w:rsid w:val="003B22BF"/>
    <w:rsid w:val="0042315C"/>
    <w:rsid w:val="00575BEF"/>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4BE5"/>
  <w15:chartTrackingRefBased/>
  <w15:docId w15:val="{40BC1A81-CE8E-4C3D-BDED-122200B0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2BF"/>
    <w:rPr>
      <w:color w:val="0563C1" w:themeColor="hyperlink"/>
      <w:u w:val="single"/>
    </w:rPr>
  </w:style>
  <w:style w:type="character" w:styleId="UnresolvedMention">
    <w:name w:val="Unresolved Mention"/>
    <w:basedOn w:val="DefaultParagraphFont"/>
    <w:uiPriority w:val="99"/>
    <w:semiHidden/>
    <w:unhideWhenUsed/>
    <w:rsid w:val="003B22BF"/>
    <w:rPr>
      <w:color w:val="605E5C"/>
      <w:shd w:val="clear" w:color="auto" w:fill="E1DFDD"/>
    </w:rPr>
  </w:style>
  <w:style w:type="paragraph" w:styleId="Title">
    <w:name w:val="Title"/>
    <w:basedOn w:val="Normal"/>
    <w:next w:val="Normal"/>
    <w:link w:val="TitleChar"/>
    <w:uiPriority w:val="10"/>
    <w:qFormat/>
    <w:rsid w:val="003B22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8240">
      <w:bodyDiv w:val="1"/>
      <w:marLeft w:val="0"/>
      <w:marRight w:val="0"/>
      <w:marTop w:val="0"/>
      <w:marBottom w:val="0"/>
      <w:divBdr>
        <w:top w:val="none" w:sz="0" w:space="0" w:color="auto"/>
        <w:left w:val="none" w:sz="0" w:space="0" w:color="auto"/>
        <w:bottom w:val="none" w:sz="0" w:space="0" w:color="auto"/>
        <w:right w:val="none" w:sz="0" w:space="0" w:color="auto"/>
      </w:divBdr>
      <w:divsChild>
        <w:div w:id="917979423">
          <w:marLeft w:val="0"/>
          <w:marRight w:val="0"/>
          <w:marTop w:val="0"/>
          <w:marBottom w:val="0"/>
          <w:divBdr>
            <w:top w:val="none" w:sz="0" w:space="0" w:color="auto"/>
            <w:left w:val="none" w:sz="0" w:space="0" w:color="auto"/>
            <w:bottom w:val="none" w:sz="0" w:space="0" w:color="auto"/>
            <w:right w:val="none" w:sz="0" w:space="0" w:color="auto"/>
          </w:divBdr>
          <w:divsChild>
            <w:div w:id="708997673">
              <w:marLeft w:val="0"/>
              <w:marRight w:val="0"/>
              <w:marTop w:val="0"/>
              <w:marBottom w:val="0"/>
              <w:divBdr>
                <w:top w:val="none" w:sz="0" w:space="0" w:color="auto"/>
                <w:left w:val="none" w:sz="0" w:space="0" w:color="auto"/>
                <w:bottom w:val="none" w:sz="0" w:space="0" w:color="auto"/>
                <w:right w:val="none" w:sz="0" w:space="0" w:color="auto"/>
              </w:divBdr>
            </w:div>
          </w:divsChild>
        </w:div>
        <w:div w:id="608048397">
          <w:marLeft w:val="0"/>
          <w:marRight w:val="0"/>
          <w:marTop w:val="0"/>
          <w:marBottom w:val="0"/>
          <w:divBdr>
            <w:top w:val="none" w:sz="0" w:space="0" w:color="auto"/>
            <w:left w:val="none" w:sz="0" w:space="0" w:color="auto"/>
            <w:bottom w:val="none" w:sz="0" w:space="0" w:color="auto"/>
            <w:right w:val="none" w:sz="0" w:space="0" w:color="auto"/>
          </w:divBdr>
          <w:divsChild>
            <w:div w:id="1295256444">
              <w:marLeft w:val="0"/>
              <w:marRight w:val="0"/>
              <w:marTop w:val="0"/>
              <w:marBottom w:val="0"/>
              <w:divBdr>
                <w:top w:val="none" w:sz="0" w:space="0" w:color="auto"/>
                <w:left w:val="none" w:sz="0" w:space="0" w:color="auto"/>
                <w:bottom w:val="none" w:sz="0" w:space="0" w:color="auto"/>
                <w:right w:val="none" w:sz="0" w:space="0" w:color="auto"/>
              </w:divBdr>
              <w:divsChild>
                <w:div w:id="1940330786">
                  <w:marLeft w:val="0"/>
                  <w:marRight w:val="0"/>
                  <w:marTop w:val="0"/>
                  <w:marBottom w:val="0"/>
                  <w:divBdr>
                    <w:top w:val="none" w:sz="0" w:space="0" w:color="auto"/>
                    <w:left w:val="none" w:sz="0" w:space="0" w:color="auto"/>
                    <w:bottom w:val="none" w:sz="0" w:space="0" w:color="auto"/>
                    <w:right w:val="none" w:sz="0" w:space="0" w:color="auto"/>
                  </w:divBdr>
                  <w:divsChild>
                    <w:div w:id="325013502">
                      <w:marLeft w:val="0"/>
                      <w:marRight w:val="0"/>
                      <w:marTop w:val="0"/>
                      <w:marBottom w:val="0"/>
                      <w:divBdr>
                        <w:top w:val="none" w:sz="0" w:space="0" w:color="auto"/>
                        <w:left w:val="none" w:sz="0" w:space="0" w:color="auto"/>
                        <w:bottom w:val="none" w:sz="0" w:space="0" w:color="auto"/>
                        <w:right w:val="none" w:sz="0" w:space="0" w:color="auto"/>
                      </w:divBdr>
                      <w:divsChild>
                        <w:div w:id="1177647797">
                          <w:marLeft w:val="0"/>
                          <w:marRight w:val="0"/>
                          <w:marTop w:val="0"/>
                          <w:marBottom w:val="0"/>
                          <w:divBdr>
                            <w:top w:val="none" w:sz="0" w:space="0" w:color="auto"/>
                            <w:left w:val="none" w:sz="0" w:space="0" w:color="auto"/>
                            <w:bottom w:val="none" w:sz="0" w:space="0" w:color="auto"/>
                            <w:right w:val="none" w:sz="0" w:space="0" w:color="auto"/>
                          </w:divBdr>
                          <w:divsChild>
                            <w:div w:id="1168136313">
                              <w:marLeft w:val="0"/>
                              <w:marRight w:val="0"/>
                              <w:marTop w:val="0"/>
                              <w:marBottom w:val="0"/>
                              <w:divBdr>
                                <w:top w:val="none" w:sz="0" w:space="0" w:color="auto"/>
                                <w:left w:val="none" w:sz="0" w:space="0" w:color="auto"/>
                                <w:bottom w:val="none" w:sz="0" w:space="0" w:color="auto"/>
                                <w:right w:val="none" w:sz="0" w:space="0" w:color="auto"/>
                              </w:divBdr>
                              <w:divsChild>
                                <w:div w:id="511653043">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96537">
              <w:marLeft w:val="0"/>
              <w:marRight w:val="0"/>
              <w:marTop w:val="0"/>
              <w:marBottom w:val="0"/>
              <w:divBdr>
                <w:top w:val="none" w:sz="0" w:space="0" w:color="auto"/>
                <w:left w:val="none" w:sz="0" w:space="0" w:color="auto"/>
                <w:bottom w:val="none" w:sz="0" w:space="0" w:color="auto"/>
                <w:right w:val="none" w:sz="0" w:space="0" w:color="auto"/>
              </w:divBdr>
              <w:divsChild>
                <w:div w:id="381634707">
                  <w:marLeft w:val="0"/>
                  <w:marRight w:val="0"/>
                  <w:marTop w:val="0"/>
                  <w:marBottom w:val="0"/>
                  <w:divBdr>
                    <w:top w:val="none" w:sz="0" w:space="0" w:color="auto"/>
                    <w:left w:val="none" w:sz="0" w:space="0" w:color="auto"/>
                    <w:bottom w:val="none" w:sz="0" w:space="0" w:color="auto"/>
                    <w:right w:val="none" w:sz="0" w:space="0" w:color="auto"/>
                  </w:divBdr>
                  <w:divsChild>
                    <w:div w:id="2120444429">
                      <w:marLeft w:val="0"/>
                      <w:marRight w:val="0"/>
                      <w:marTop w:val="0"/>
                      <w:marBottom w:val="0"/>
                      <w:divBdr>
                        <w:top w:val="none" w:sz="0" w:space="0" w:color="auto"/>
                        <w:left w:val="none" w:sz="0" w:space="0" w:color="auto"/>
                        <w:bottom w:val="none" w:sz="0" w:space="0" w:color="auto"/>
                        <w:right w:val="none" w:sz="0" w:space="0" w:color="auto"/>
                      </w:divBdr>
                      <w:divsChild>
                        <w:div w:id="15707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3697">
                  <w:marLeft w:val="0"/>
                  <w:marRight w:val="0"/>
                  <w:marTop w:val="0"/>
                  <w:marBottom w:val="0"/>
                  <w:divBdr>
                    <w:top w:val="none" w:sz="0" w:space="0" w:color="auto"/>
                    <w:left w:val="none" w:sz="0" w:space="0" w:color="auto"/>
                    <w:bottom w:val="none" w:sz="0" w:space="0" w:color="auto"/>
                    <w:right w:val="none" w:sz="0" w:space="0" w:color="auto"/>
                  </w:divBdr>
                  <w:divsChild>
                    <w:div w:id="1314525326">
                      <w:marLeft w:val="0"/>
                      <w:marRight w:val="0"/>
                      <w:marTop w:val="0"/>
                      <w:marBottom w:val="0"/>
                      <w:divBdr>
                        <w:top w:val="none" w:sz="0" w:space="0" w:color="auto"/>
                        <w:left w:val="none" w:sz="0" w:space="0" w:color="auto"/>
                        <w:bottom w:val="none" w:sz="0" w:space="0" w:color="auto"/>
                        <w:right w:val="none" w:sz="0" w:space="0" w:color="auto"/>
                      </w:divBdr>
                      <w:divsChild>
                        <w:div w:id="2060086358">
                          <w:marLeft w:val="0"/>
                          <w:marRight w:val="0"/>
                          <w:marTop w:val="0"/>
                          <w:marBottom w:val="0"/>
                          <w:divBdr>
                            <w:top w:val="none" w:sz="0" w:space="0" w:color="auto"/>
                            <w:left w:val="none" w:sz="0" w:space="0" w:color="auto"/>
                            <w:bottom w:val="none" w:sz="0" w:space="0" w:color="auto"/>
                            <w:right w:val="none" w:sz="0" w:space="0" w:color="auto"/>
                          </w:divBdr>
                          <w:divsChild>
                            <w:div w:id="1321495939">
                              <w:marLeft w:val="0"/>
                              <w:marRight w:val="0"/>
                              <w:marTop w:val="0"/>
                              <w:marBottom w:val="0"/>
                              <w:divBdr>
                                <w:top w:val="none" w:sz="0" w:space="0" w:color="auto"/>
                                <w:left w:val="none" w:sz="0" w:space="0" w:color="auto"/>
                                <w:bottom w:val="none" w:sz="0" w:space="0" w:color="auto"/>
                                <w:right w:val="none" w:sz="0" w:space="0" w:color="auto"/>
                              </w:divBdr>
                              <w:divsChild>
                                <w:div w:id="164172119">
                                  <w:marLeft w:val="0"/>
                                  <w:marRight w:val="0"/>
                                  <w:marTop w:val="0"/>
                                  <w:marBottom w:val="0"/>
                                  <w:divBdr>
                                    <w:top w:val="none" w:sz="0" w:space="0" w:color="auto"/>
                                    <w:left w:val="none" w:sz="0" w:space="0" w:color="auto"/>
                                    <w:bottom w:val="none" w:sz="0" w:space="0" w:color="auto"/>
                                    <w:right w:val="none" w:sz="0" w:space="0" w:color="auto"/>
                                  </w:divBdr>
                                  <w:divsChild>
                                    <w:div w:id="1500922738">
                                      <w:marLeft w:val="0"/>
                                      <w:marRight w:val="0"/>
                                      <w:marTop w:val="0"/>
                                      <w:marBottom w:val="0"/>
                                      <w:divBdr>
                                        <w:top w:val="none" w:sz="0" w:space="0" w:color="auto"/>
                                        <w:left w:val="none" w:sz="0" w:space="0" w:color="auto"/>
                                        <w:bottom w:val="none" w:sz="0" w:space="0" w:color="auto"/>
                                        <w:right w:val="none" w:sz="0" w:space="0" w:color="auto"/>
                                      </w:divBdr>
                                      <w:divsChild>
                                        <w:div w:id="1240603906">
                                          <w:marLeft w:val="0"/>
                                          <w:marRight w:val="0"/>
                                          <w:marTop w:val="0"/>
                                          <w:marBottom w:val="0"/>
                                          <w:divBdr>
                                            <w:top w:val="none" w:sz="0" w:space="0" w:color="auto"/>
                                            <w:left w:val="none" w:sz="0" w:space="0" w:color="auto"/>
                                            <w:bottom w:val="none" w:sz="0" w:space="0" w:color="auto"/>
                                            <w:right w:val="none" w:sz="0" w:space="0" w:color="auto"/>
                                          </w:divBdr>
                                          <w:divsChild>
                                            <w:div w:id="888343918">
                                              <w:marLeft w:val="0"/>
                                              <w:marRight w:val="0"/>
                                              <w:marTop w:val="0"/>
                                              <w:marBottom w:val="0"/>
                                              <w:divBdr>
                                                <w:top w:val="none" w:sz="0" w:space="0" w:color="auto"/>
                                                <w:left w:val="none" w:sz="0" w:space="0" w:color="auto"/>
                                                <w:bottom w:val="none" w:sz="0" w:space="0" w:color="auto"/>
                                                <w:right w:val="none" w:sz="0" w:space="0" w:color="auto"/>
                                              </w:divBdr>
                                              <w:divsChild>
                                                <w:div w:id="203643268">
                                                  <w:marLeft w:val="0"/>
                                                  <w:marRight w:val="0"/>
                                                  <w:marTop w:val="0"/>
                                                  <w:marBottom w:val="0"/>
                                                  <w:divBdr>
                                                    <w:top w:val="none" w:sz="0" w:space="0" w:color="auto"/>
                                                    <w:left w:val="none" w:sz="0" w:space="0" w:color="auto"/>
                                                    <w:bottom w:val="none" w:sz="0" w:space="0" w:color="auto"/>
                                                    <w:right w:val="none" w:sz="0" w:space="0" w:color="auto"/>
                                                  </w:divBdr>
                                                  <w:divsChild>
                                                    <w:div w:id="1620840146">
                                                      <w:marLeft w:val="0"/>
                                                      <w:marRight w:val="0"/>
                                                      <w:marTop w:val="0"/>
                                                      <w:marBottom w:val="0"/>
                                                      <w:divBdr>
                                                        <w:top w:val="none" w:sz="0" w:space="0" w:color="auto"/>
                                                        <w:left w:val="none" w:sz="0" w:space="0" w:color="auto"/>
                                                        <w:bottom w:val="none" w:sz="0" w:space="0" w:color="auto"/>
                                                        <w:right w:val="none" w:sz="0" w:space="0" w:color="auto"/>
                                                      </w:divBdr>
                                                      <w:divsChild>
                                                        <w:div w:id="1543052269">
                                                          <w:marLeft w:val="0"/>
                                                          <w:marRight w:val="0"/>
                                                          <w:marTop w:val="0"/>
                                                          <w:marBottom w:val="0"/>
                                                          <w:divBdr>
                                                            <w:top w:val="none" w:sz="0" w:space="0" w:color="auto"/>
                                                            <w:left w:val="none" w:sz="0" w:space="0" w:color="auto"/>
                                                            <w:bottom w:val="none" w:sz="0" w:space="0" w:color="auto"/>
                                                            <w:right w:val="none" w:sz="0" w:space="0" w:color="auto"/>
                                                          </w:divBdr>
                                                          <w:divsChild>
                                                            <w:div w:id="749237402">
                                                              <w:marLeft w:val="0"/>
                                                              <w:marRight w:val="0"/>
                                                              <w:marTop w:val="0"/>
                                                              <w:marBottom w:val="0"/>
                                                              <w:divBdr>
                                                                <w:top w:val="none" w:sz="0" w:space="0" w:color="auto"/>
                                                                <w:left w:val="none" w:sz="0" w:space="0" w:color="auto"/>
                                                                <w:bottom w:val="none" w:sz="0" w:space="0" w:color="auto"/>
                                                                <w:right w:val="none" w:sz="0" w:space="0" w:color="auto"/>
                                                              </w:divBdr>
                                                              <w:divsChild>
                                                                <w:div w:id="54933973">
                                                                  <w:marLeft w:val="0"/>
                                                                  <w:marRight w:val="0"/>
                                                                  <w:marTop w:val="0"/>
                                                                  <w:marBottom w:val="0"/>
                                                                  <w:divBdr>
                                                                    <w:top w:val="none" w:sz="0" w:space="0" w:color="auto"/>
                                                                    <w:left w:val="none" w:sz="0" w:space="0" w:color="auto"/>
                                                                    <w:bottom w:val="none" w:sz="0" w:space="0" w:color="auto"/>
                                                                    <w:right w:val="none" w:sz="0" w:space="0" w:color="auto"/>
                                                                  </w:divBdr>
                                                                  <w:divsChild>
                                                                    <w:div w:id="10786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773791007">
                                  <w:marLeft w:val="0"/>
                                  <w:marRight w:val="0"/>
                                  <w:marTop w:val="0"/>
                                  <w:marBottom w:val="0"/>
                                  <w:divBdr>
                                    <w:top w:val="none" w:sz="0" w:space="0" w:color="auto"/>
                                    <w:left w:val="none" w:sz="0" w:space="0" w:color="auto"/>
                                    <w:bottom w:val="none" w:sz="0" w:space="0" w:color="auto"/>
                                    <w:right w:val="none" w:sz="0" w:space="0" w:color="auto"/>
                                  </w:divBdr>
                                  <w:divsChild>
                                    <w:div w:id="527764475">
                                      <w:marLeft w:val="0"/>
                                      <w:marRight w:val="0"/>
                                      <w:marTop w:val="0"/>
                                      <w:marBottom w:val="0"/>
                                      <w:divBdr>
                                        <w:top w:val="none" w:sz="0" w:space="0" w:color="auto"/>
                                        <w:left w:val="none" w:sz="0" w:space="0" w:color="auto"/>
                                        <w:bottom w:val="none" w:sz="0" w:space="0" w:color="auto"/>
                                        <w:right w:val="none" w:sz="0" w:space="0" w:color="auto"/>
                                      </w:divBdr>
                                      <w:divsChild>
                                        <w:div w:id="442457312">
                                          <w:marLeft w:val="0"/>
                                          <w:marRight w:val="0"/>
                                          <w:marTop w:val="0"/>
                                          <w:marBottom w:val="0"/>
                                          <w:divBdr>
                                            <w:top w:val="none" w:sz="0" w:space="0" w:color="auto"/>
                                            <w:left w:val="none" w:sz="0" w:space="0" w:color="auto"/>
                                            <w:bottom w:val="none" w:sz="0" w:space="0" w:color="auto"/>
                                            <w:right w:val="none" w:sz="0" w:space="0" w:color="auto"/>
                                          </w:divBdr>
                                          <w:divsChild>
                                            <w:div w:id="18602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3073">
                              <w:marLeft w:val="0"/>
                              <w:marRight w:val="0"/>
                              <w:marTop w:val="0"/>
                              <w:marBottom w:val="0"/>
                              <w:divBdr>
                                <w:top w:val="none" w:sz="0" w:space="0" w:color="auto"/>
                                <w:left w:val="none" w:sz="0" w:space="0" w:color="auto"/>
                                <w:bottom w:val="none" w:sz="0" w:space="0" w:color="auto"/>
                                <w:right w:val="none" w:sz="0" w:space="0" w:color="auto"/>
                              </w:divBdr>
                              <w:divsChild>
                                <w:div w:id="1398170484">
                                  <w:marLeft w:val="0"/>
                                  <w:marRight w:val="0"/>
                                  <w:marTop w:val="0"/>
                                  <w:marBottom w:val="0"/>
                                  <w:divBdr>
                                    <w:top w:val="none" w:sz="0" w:space="0" w:color="auto"/>
                                    <w:left w:val="none" w:sz="0" w:space="0" w:color="auto"/>
                                    <w:bottom w:val="none" w:sz="0" w:space="0" w:color="auto"/>
                                    <w:right w:val="none" w:sz="0" w:space="0" w:color="auto"/>
                                  </w:divBdr>
                                  <w:divsChild>
                                    <w:div w:id="1735735242">
                                      <w:marLeft w:val="0"/>
                                      <w:marRight w:val="0"/>
                                      <w:marTop w:val="0"/>
                                      <w:marBottom w:val="0"/>
                                      <w:divBdr>
                                        <w:top w:val="none" w:sz="0" w:space="0" w:color="auto"/>
                                        <w:left w:val="none" w:sz="0" w:space="0" w:color="auto"/>
                                        <w:bottom w:val="none" w:sz="0" w:space="0" w:color="auto"/>
                                        <w:right w:val="none" w:sz="0" w:space="0" w:color="auto"/>
                                      </w:divBdr>
                                      <w:divsChild>
                                        <w:div w:id="193884501">
                                          <w:marLeft w:val="0"/>
                                          <w:marRight w:val="0"/>
                                          <w:marTop w:val="0"/>
                                          <w:marBottom w:val="0"/>
                                          <w:divBdr>
                                            <w:top w:val="none" w:sz="0" w:space="0" w:color="auto"/>
                                            <w:left w:val="none" w:sz="0" w:space="0" w:color="auto"/>
                                            <w:bottom w:val="none" w:sz="0" w:space="0" w:color="auto"/>
                                            <w:right w:val="none" w:sz="0" w:space="0" w:color="auto"/>
                                          </w:divBdr>
                                          <w:divsChild>
                                            <w:div w:id="1951282804">
                                              <w:marLeft w:val="0"/>
                                              <w:marRight w:val="0"/>
                                              <w:marTop w:val="0"/>
                                              <w:marBottom w:val="0"/>
                                              <w:divBdr>
                                                <w:top w:val="none" w:sz="0" w:space="0" w:color="auto"/>
                                                <w:left w:val="none" w:sz="0" w:space="0" w:color="auto"/>
                                                <w:bottom w:val="none" w:sz="0" w:space="0" w:color="auto"/>
                                                <w:right w:val="none" w:sz="0" w:space="0" w:color="auto"/>
                                              </w:divBdr>
                                              <w:divsChild>
                                                <w:div w:id="1337616614">
                                                  <w:marLeft w:val="0"/>
                                                  <w:marRight w:val="0"/>
                                                  <w:marTop w:val="0"/>
                                                  <w:marBottom w:val="0"/>
                                                  <w:divBdr>
                                                    <w:top w:val="none" w:sz="0" w:space="0" w:color="auto"/>
                                                    <w:left w:val="none" w:sz="0" w:space="0" w:color="auto"/>
                                                    <w:bottom w:val="none" w:sz="0" w:space="0" w:color="auto"/>
                                                    <w:right w:val="none" w:sz="0" w:space="0" w:color="auto"/>
                                                  </w:divBdr>
                                                  <w:divsChild>
                                                    <w:div w:id="1947691358">
                                                      <w:marLeft w:val="0"/>
                                                      <w:marRight w:val="0"/>
                                                      <w:marTop w:val="0"/>
                                                      <w:marBottom w:val="0"/>
                                                      <w:divBdr>
                                                        <w:top w:val="none" w:sz="0" w:space="0" w:color="auto"/>
                                                        <w:left w:val="none" w:sz="0" w:space="0" w:color="auto"/>
                                                        <w:bottom w:val="none" w:sz="0" w:space="0" w:color="auto"/>
                                                        <w:right w:val="none" w:sz="0" w:space="0" w:color="auto"/>
                                                      </w:divBdr>
                                                      <w:divsChild>
                                                        <w:div w:id="856774845">
                                                          <w:marLeft w:val="0"/>
                                                          <w:marRight w:val="0"/>
                                                          <w:marTop w:val="0"/>
                                                          <w:marBottom w:val="0"/>
                                                          <w:divBdr>
                                                            <w:top w:val="none" w:sz="0" w:space="0" w:color="auto"/>
                                                            <w:left w:val="none" w:sz="0" w:space="0" w:color="auto"/>
                                                            <w:bottom w:val="none" w:sz="0" w:space="0" w:color="auto"/>
                                                            <w:right w:val="none" w:sz="0" w:space="0" w:color="auto"/>
                                                          </w:divBdr>
                                                          <w:divsChild>
                                                            <w:div w:id="1883208190">
                                                              <w:marLeft w:val="0"/>
                                                              <w:marRight w:val="0"/>
                                                              <w:marTop w:val="0"/>
                                                              <w:marBottom w:val="0"/>
                                                              <w:divBdr>
                                                                <w:top w:val="none" w:sz="0" w:space="0" w:color="auto"/>
                                                                <w:left w:val="none" w:sz="0" w:space="0" w:color="auto"/>
                                                                <w:bottom w:val="none" w:sz="0" w:space="0" w:color="auto"/>
                                                                <w:right w:val="none" w:sz="0" w:space="0" w:color="auto"/>
                                                              </w:divBdr>
                                                              <w:divsChild>
                                                                <w:div w:id="1591961530">
                                                                  <w:marLeft w:val="0"/>
                                                                  <w:marRight w:val="0"/>
                                                                  <w:marTop w:val="0"/>
                                                                  <w:marBottom w:val="0"/>
                                                                  <w:divBdr>
                                                                    <w:top w:val="none" w:sz="0" w:space="0" w:color="auto"/>
                                                                    <w:left w:val="none" w:sz="0" w:space="0" w:color="auto"/>
                                                                    <w:bottom w:val="none" w:sz="0" w:space="0" w:color="auto"/>
                                                                    <w:right w:val="none" w:sz="0" w:space="0" w:color="auto"/>
                                                                  </w:divBdr>
                                                                  <w:divsChild>
                                                                    <w:div w:id="1970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050328">
                              <w:marLeft w:val="0"/>
                              <w:marRight w:val="0"/>
                              <w:marTop w:val="0"/>
                              <w:marBottom w:val="0"/>
                              <w:divBdr>
                                <w:top w:val="none" w:sz="0" w:space="0" w:color="auto"/>
                                <w:left w:val="none" w:sz="0" w:space="0" w:color="auto"/>
                                <w:bottom w:val="none" w:sz="0" w:space="0" w:color="auto"/>
                                <w:right w:val="none" w:sz="0" w:space="0" w:color="auto"/>
                              </w:divBdr>
                              <w:divsChild>
                                <w:div w:id="1547176456">
                                  <w:marLeft w:val="0"/>
                                  <w:marRight w:val="0"/>
                                  <w:marTop w:val="0"/>
                                  <w:marBottom w:val="0"/>
                                  <w:divBdr>
                                    <w:top w:val="none" w:sz="0" w:space="0" w:color="auto"/>
                                    <w:left w:val="none" w:sz="0" w:space="0" w:color="auto"/>
                                    <w:bottom w:val="none" w:sz="0" w:space="0" w:color="auto"/>
                                    <w:right w:val="none" w:sz="0" w:space="0" w:color="auto"/>
                                  </w:divBdr>
                                  <w:divsChild>
                                    <w:div w:id="2053115944">
                                      <w:marLeft w:val="0"/>
                                      <w:marRight w:val="0"/>
                                      <w:marTop w:val="0"/>
                                      <w:marBottom w:val="0"/>
                                      <w:divBdr>
                                        <w:top w:val="none" w:sz="0" w:space="0" w:color="auto"/>
                                        <w:left w:val="none" w:sz="0" w:space="0" w:color="auto"/>
                                        <w:bottom w:val="none" w:sz="0" w:space="0" w:color="auto"/>
                                        <w:right w:val="none" w:sz="0" w:space="0" w:color="auto"/>
                                      </w:divBdr>
                                      <w:divsChild>
                                        <w:div w:id="1960990692">
                                          <w:marLeft w:val="0"/>
                                          <w:marRight w:val="0"/>
                                          <w:marTop w:val="0"/>
                                          <w:marBottom w:val="0"/>
                                          <w:divBdr>
                                            <w:top w:val="none" w:sz="0" w:space="0" w:color="auto"/>
                                            <w:left w:val="none" w:sz="0" w:space="0" w:color="auto"/>
                                            <w:bottom w:val="none" w:sz="0" w:space="0" w:color="auto"/>
                                            <w:right w:val="none" w:sz="0" w:space="0" w:color="auto"/>
                                          </w:divBdr>
                                          <w:divsChild>
                                            <w:div w:id="1900969455">
                                              <w:marLeft w:val="0"/>
                                              <w:marRight w:val="0"/>
                                              <w:marTop w:val="0"/>
                                              <w:marBottom w:val="0"/>
                                              <w:divBdr>
                                                <w:top w:val="none" w:sz="0" w:space="0" w:color="auto"/>
                                                <w:left w:val="none" w:sz="0" w:space="0" w:color="auto"/>
                                                <w:bottom w:val="none" w:sz="0" w:space="0" w:color="auto"/>
                                                <w:right w:val="none" w:sz="0" w:space="0" w:color="auto"/>
                                              </w:divBdr>
                                              <w:divsChild>
                                                <w:div w:id="569467350">
                                                  <w:marLeft w:val="0"/>
                                                  <w:marRight w:val="0"/>
                                                  <w:marTop w:val="0"/>
                                                  <w:marBottom w:val="0"/>
                                                  <w:divBdr>
                                                    <w:top w:val="none" w:sz="0" w:space="0" w:color="auto"/>
                                                    <w:left w:val="none" w:sz="0" w:space="0" w:color="auto"/>
                                                    <w:bottom w:val="none" w:sz="0" w:space="0" w:color="auto"/>
                                                    <w:right w:val="none" w:sz="0" w:space="0" w:color="auto"/>
                                                  </w:divBdr>
                                                  <w:divsChild>
                                                    <w:div w:id="658656843">
                                                      <w:marLeft w:val="0"/>
                                                      <w:marRight w:val="0"/>
                                                      <w:marTop w:val="0"/>
                                                      <w:marBottom w:val="0"/>
                                                      <w:divBdr>
                                                        <w:top w:val="none" w:sz="0" w:space="0" w:color="auto"/>
                                                        <w:left w:val="none" w:sz="0" w:space="0" w:color="auto"/>
                                                        <w:bottom w:val="none" w:sz="0" w:space="0" w:color="auto"/>
                                                        <w:right w:val="none" w:sz="0" w:space="0" w:color="auto"/>
                                                      </w:divBdr>
                                                      <w:divsChild>
                                                        <w:div w:id="1617827549">
                                                          <w:marLeft w:val="0"/>
                                                          <w:marRight w:val="0"/>
                                                          <w:marTop w:val="0"/>
                                                          <w:marBottom w:val="0"/>
                                                          <w:divBdr>
                                                            <w:top w:val="none" w:sz="0" w:space="0" w:color="auto"/>
                                                            <w:left w:val="none" w:sz="0" w:space="0" w:color="auto"/>
                                                            <w:bottom w:val="none" w:sz="0" w:space="0" w:color="auto"/>
                                                            <w:right w:val="none" w:sz="0" w:space="0" w:color="auto"/>
                                                          </w:divBdr>
                                                          <w:divsChild>
                                                            <w:div w:id="8872826">
                                                              <w:marLeft w:val="0"/>
                                                              <w:marRight w:val="0"/>
                                                              <w:marTop w:val="0"/>
                                                              <w:marBottom w:val="0"/>
                                                              <w:divBdr>
                                                                <w:top w:val="none" w:sz="0" w:space="0" w:color="auto"/>
                                                                <w:left w:val="none" w:sz="0" w:space="0" w:color="auto"/>
                                                                <w:bottom w:val="none" w:sz="0" w:space="0" w:color="auto"/>
                                                                <w:right w:val="none" w:sz="0" w:space="0" w:color="auto"/>
                                                              </w:divBdr>
                                                              <w:divsChild>
                                                                <w:div w:id="951863795">
                                                                  <w:marLeft w:val="0"/>
                                                                  <w:marRight w:val="0"/>
                                                                  <w:marTop w:val="0"/>
                                                                  <w:marBottom w:val="0"/>
                                                                  <w:divBdr>
                                                                    <w:top w:val="none" w:sz="0" w:space="0" w:color="auto"/>
                                                                    <w:left w:val="none" w:sz="0" w:space="0" w:color="auto"/>
                                                                    <w:bottom w:val="none" w:sz="0" w:space="0" w:color="auto"/>
                                                                    <w:right w:val="none" w:sz="0" w:space="0" w:color="auto"/>
                                                                  </w:divBdr>
                                                                  <w:divsChild>
                                                                    <w:div w:id="1000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924358">
                              <w:marLeft w:val="0"/>
                              <w:marRight w:val="0"/>
                              <w:marTop w:val="0"/>
                              <w:marBottom w:val="0"/>
                              <w:divBdr>
                                <w:top w:val="none" w:sz="0" w:space="0" w:color="auto"/>
                                <w:left w:val="none" w:sz="0" w:space="0" w:color="auto"/>
                                <w:bottom w:val="none" w:sz="0" w:space="0" w:color="auto"/>
                                <w:right w:val="none" w:sz="0" w:space="0" w:color="auto"/>
                              </w:divBdr>
                              <w:divsChild>
                                <w:div w:id="1660183624">
                                  <w:marLeft w:val="0"/>
                                  <w:marRight w:val="0"/>
                                  <w:marTop w:val="0"/>
                                  <w:marBottom w:val="0"/>
                                  <w:divBdr>
                                    <w:top w:val="none" w:sz="0" w:space="0" w:color="auto"/>
                                    <w:left w:val="none" w:sz="0" w:space="0" w:color="auto"/>
                                    <w:bottom w:val="none" w:sz="0" w:space="0" w:color="auto"/>
                                    <w:right w:val="none" w:sz="0" w:space="0" w:color="auto"/>
                                  </w:divBdr>
                                  <w:divsChild>
                                    <w:div w:id="1963489471">
                                      <w:marLeft w:val="0"/>
                                      <w:marRight w:val="0"/>
                                      <w:marTop w:val="0"/>
                                      <w:marBottom w:val="0"/>
                                      <w:divBdr>
                                        <w:top w:val="none" w:sz="0" w:space="0" w:color="auto"/>
                                        <w:left w:val="none" w:sz="0" w:space="0" w:color="auto"/>
                                        <w:bottom w:val="none" w:sz="0" w:space="0" w:color="auto"/>
                                        <w:right w:val="none" w:sz="0" w:space="0" w:color="auto"/>
                                      </w:divBdr>
                                      <w:divsChild>
                                        <w:div w:id="1499536342">
                                          <w:marLeft w:val="0"/>
                                          <w:marRight w:val="0"/>
                                          <w:marTop w:val="0"/>
                                          <w:marBottom w:val="0"/>
                                          <w:divBdr>
                                            <w:top w:val="none" w:sz="0" w:space="0" w:color="auto"/>
                                            <w:left w:val="none" w:sz="0" w:space="0" w:color="auto"/>
                                            <w:bottom w:val="none" w:sz="0" w:space="0" w:color="auto"/>
                                            <w:right w:val="none" w:sz="0" w:space="0" w:color="auto"/>
                                          </w:divBdr>
                                          <w:divsChild>
                                            <w:div w:id="10395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31267">
                              <w:marLeft w:val="0"/>
                              <w:marRight w:val="0"/>
                              <w:marTop w:val="0"/>
                              <w:marBottom w:val="0"/>
                              <w:divBdr>
                                <w:top w:val="none" w:sz="0" w:space="0" w:color="auto"/>
                                <w:left w:val="none" w:sz="0" w:space="0" w:color="auto"/>
                                <w:bottom w:val="none" w:sz="0" w:space="0" w:color="auto"/>
                                <w:right w:val="none" w:sz="0" w:space="0" w:color="auto"/>
                              </w:divBdr>
                              <w:divsChild>
                                <w:div w:id="64913023">
                                  <w:marLeft w:val="0"/>
                                  <w:marRight w:val="0"/>
                                  <w:marTop w:val="0"/>
                                  <w:marBottom w:val="0"/>
                                  <w:divBdr>
                                    <w:top w:val="none" w:sz="0" w:space="0" w:color="auto"/>
                                    <w:left w:val="none" w:sz="0" w:space="0" w:color="auto"/>
                                    <w:bottom w:val="none" w:sz="0" w:space="0" w:color="auto"/>
                                    <w:right w:val="none" w:sz="0" w:space="0" w:color="auto"/>
                                  </w:divBdr>
                                  <w:divsChild>
                                    <w:div w:id="1442381874">
                                      <w:marLeft w:val="0"/>
                                      <w:marRight w:val="0"/>
                                      <w:marTop w:val="0"/>
                                      <w:marBottom w:val="0"/>
                                      <w:divBdr>
                                        <w:top w:val="none" w:sz="0" w:space="0" w:color="auto"/>
                                        <w:left w:val="none" w:sz="0" w:space="0" w:color="auto"/>
                                        <w:bottom w:val="none" w:sz="0" w:space="0" w:color="auto"/>
                                        <w:right w:val="none" w:sz="0" w:space="0" w:color="auto"/>
                                      </w:divBdr>
                                      <w:divsChild>
                                        <w:div w:id="558173654">
                                          <w:marLeft w:val="0"/>
                                          <w:marRight w:val="0"/>
                                          <w:marTop w:val="0"/>
                                          <w:marBottom w:val="0"/>
                                          <w:divBdr>
                                            <w:top w:val="none" w:sz="0" w:space="0" w:color="auto"/>
                                            <w:left w:val="none" w:sz="0" w:space="0" w:color="auto"/>
                                            <w:bottom w:val="none" w:sz="0" w:space="0" w:color="auto"/>
                                            <w:right w:val="none" w:sz="0" w:space="0" w:color="auto"/>
                                          </w:divBdr>
                                          <w:divsChild>
                                            <w:div w:id="8980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en/the-agency/faqs/airspace-usage-requirements" TargetMode="External"/><Relationship Id="rId13" Type="http://schemas.openxmlformats.org/officeDocument/2006/relationships/hyperlink" Target="https://www.easa.europa.eu/en/document-library/notices-of-proposed-amendment/npa-2023-04" TargetMode="External"/><Relationship Id="rId3" Type="http://schemas.openxmlformats.org/officeDocument/2006/relationships/settings" Target="settings.xml"/><Relationship Id="rId7" Type="http://schemas.openxmlformats.org/officeDocument/2006/relationships/hyperlink" Target="https://www.easa.europa.eu/en/document-library/notices-of-proposed-amendment/npa-2023-04" TargetMode="External"/><Relationship Id="rId12" Type="http://schemas.openxmlformats.org/officeDocument/2006/relationships/hyperlink" Target="https://www.easa.europa.eu/en/document-library/acceptable-means-of-compliance-and-guidance-materials/amc-gm-aur-issu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asa.europa.eu/en/domains/air-traffic-management/transition-pbn-operations" TargetMode="External"/><Relationship Id="rId11" Type="http://schemas.openxmlformats.org/officeDocument/2006/relationships/hyperlink" Target="https://www.easa.europa.eu/en/the-agency/faqs/airspace-usage-requirements" TargetMode="External"/><Relationship Id="rId5" Type="http://schemas.openxmlformats.org/officeDocument/2006/relationships/hyperlink" Target="https://www.easa.europa.eu/en/document-library/regulations/commission-implementing-regulation-eu-20181048" TargetMode="External"/><Relationship Id="rId15" Type="http://schemas.openxmlformats.org/officeDocument/2006/relationships/hyperlink" Target="https://ad.easa.europa.eu/ad/2023-03" TargetMode="External"/><Relationship Id="rId10" Type="http://schemas.openxmlformats.org/officeDocument/2006/relationships/hyperlink" Target="https://www.easa.europa.eu/en/document-library/regulations/commission-implementing-regulation-eu-20181048" TargetMode="External"/><Relationship Id="rId4" Type="http://schemas.openxmlformats.org/officeDocument/2006/relationships/webSettings" Target="webSettings.xml"/><Relationship Id="rId9" Type="http://schemas.openxmlformats.org/officeDocument/2006/relationships/hyperlink" Target="https://www.easa.europa.eu/en/contact-us-aviation-2?select=Aviation&amp;aviation=ATM" TargetMode="External"/><Relationship Id="rId14" Type="http://schemas.openxmlformats.org/officeDocument/2006/relationships/hyperlink" Target="https://ad.easa.europa.eu/ad/202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2024-08-16T15:57:00Z</dcterms:created>
  <dcterms:modified xsi:type="dcterms:W3CDTF">2024-08-16T15:58:00Z</dcterms:modified>
</cp:coreProperties>
</file>